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52"/>
          <w:szCs w:val="52"/>
        </w:rPr>
        <w:t xml:space="preserve">KASHAN</w:t>
      </w:r>
    </w:p>
    <w:p>
      <w:pPr>
        <w:spacing w:after="60" w:before="0"/>
        <w:jc w:val="center"/>
      </w:pPr>
      <w:r>
        <w:rPr>
          <w:rFonts w:ascii="Arial" w:cs="Arial" w:eastAsia="Arial" w:hAnsi="Arial"/>
          <w:color w:val="595959"/>
          <w:sz w:val="24"/>
          <w:szCs w:val="24"/>
        </w:rPr>
        <w:t xml:space="preserve">Senior Consultant – Backend Engineering &amp; Cloud Architecture</w:t>
      </w:r>
    </w:p>
    <w:p>
      <w:pPr>
        <w:spacing w:after="240" w:before="0"/>
        <w:jc w:val="center"/>
      </w:pPr>
      <w:r>
        <w:rPr>
          <w:rFonts w:ascii="Arial" w:cs="Arial" w:eastAsia="Arial" w:hAnsi="Arial"/>
          <w:i/>
          <w:iCs/>
          <w:color w:val="595959"/>
          <w:sz w:val="20"/>
          <w:szCs w:val="20"/>
        </w:rPr>
        <w:t xml:space="preserve">Abacus Cambridge Partners  |  DTS (Digital Transformation Services)  |  Pakistan</w:t>
      </w:r>
    </w:p>
    <w:p>
      <w:pPr>
        <w:pStyle w:val="Heading1"/>
        <w:pBdr>
          <w:bottom w:val="single" w:color="2E75B6" w:sz="6" w:space="1"/>
        </w:pBdr>
        <w:spacing w:after="160" w:before="320"/>
      </w:pPr>
      <w:r>
        <w:rPr>
          <w:rFonts w:ascii="Arial" w:cs="Arial" w:eastAsia="Arial" w:hAnsi="Arial"/>
          <w:b/>
          <w:bCs/>
          <w:color w:val="1F4E79"/>
          <w:sz w:val="28"/>
          <w:szCs w:val="28"/>
        </w:rPr>
        <w:t xml:space="preserve">Professional Summary</w:t>
      </w:r>
    </w:p>
    <w:p>
      <w:pPr>
        <w:spacing w:after="60" w:before="60"/>
      </w:pPr>
      <w:r>
        <w:rPr>
          <w:rFonts w:ascii="Arial" w:cs="Arial" w:eastAsia="Arial" w:hAnsi="Arial"/>
          <w:color w:val="2E2E2E"/>
          <w:sz w:val="20"/>
          <w:szCs w:val="20"/>
        </w:rPr>
        <w:t xml:space="preserve">Senior Consultant specialising in cloud-native backend engineering and enterprise microservices architecture across government, telecom, and regulatory clients. At Abacus Cambridge Partners, core delivery spans the Government of Bermuda (GOB) digital services platform, MTN Group telecom API systems, Kenya Revenue Authority (KRA) rule engine development, and a US-based client engagement (CodePaid). Key expertise includes cabinet workflow automation, lottery systems, dynamic validation engines, TMF-standard telecom APIs, secure document handling, PDF generation pipelines, and enterprise SSO/identity integration on GCP.</w:t>
      </w:r>
    </w:p>
    <w:p>
      <w:pPr>
        <w:spacing w:after="0" w:before="100"/>
      </w:pPr>
      <w:r>
        <w:t xml:space="preserve"/>
      </w:r>
    </w:p>
    <w:p>
      <w:pPr>
        <w:pStyle w:val="Heading1"/>
        <w:pBdr>
          <w:bottom w:val="single" w:color="2E75B6" w:sz="6" w:space="1"/>
        </w:pBdr>
        <w:spacing w:after="160" w:before="320"/>
      </w:pPr>
      <w:r>
        <w:rPr>
          <w:rFonts w:ascii="Arial" w:cs="Arial" w:eastAsia="Arial" w:hAnsi="Arial"/>
          <w:b/>
          <w:bCs/>
          <w:color w:val="1F4E79"/>
          <w:sz w:val="28"/>
          <w:szCs w:val="28"/>
        </w:rPr>
        <w:t xml:space="preserve">Government of Bermuda – Digital Services Platform (GOB)</w:t>
      </w:r>
    </w:p>
    <w:p>
      <w:pPr>
        <w:spacing w:after="60" w:before="60"/>
      </w:pPr>
      <w:r>
        <w:rPr>
          <w:rFonts w:ascii="Arial" w:cs="Arial" w:eastAsia="Arial" w:hAnsi="Arial"/>
          <w:i/>
          <w:iCs/>
          <w:color w:val="595959"/>
          <w:sz w:val="20"/>
          <w:szCs w:val="20"/>
        </w:rPr>
        <w:t xml:space="preserve">Client: Government of Bermuda  |  Delivery Team: DTS, Abacus Cambridge Partners</w:t>
      </w:r>
    </w:p>
    <w:p>
      <w:pPr>
        <w:spacing w:after="60" w:before="60"/>
      </w:pPr>
      <w:r>
        <w:rPr>
          <w:rFonts w:ascii="Arial" w:cs="Arial" w:eastAsia="Arial" w:hAnsi="Arial"/>
          <w:i/>
          <w:iCs/>
          <w:color w:val="595959"/>
          <w:sz w:val="20"/>
          <w:szCs w:val="20"/>
        </w:rPr>
        <w:t xml:space="preserve">Stack: Java 17 · Spring Boot · JPA/Hibernate · PostgreSQL · GCP (Cloud Run, GCS, KMS, Identity Platform) · iText7 · Docker</w:t>
      </w:r>
    </w:p>
    <w:p>
      <w:pPr>
        <w:spacing w:after="0" w:before="80"/>
      </w:pPr>
      <w:r>
        <w:t xml:space="preserve"/>
      </w:r>
    </w:p>
    <w:p>
      <w:pPr>
        <w:pStyle w:val="Heading2"/>
        <w:spacing w:after="100" w:before="240"/>
      </w:pPr>
      <w:r>
        <w:rPr>
          <w:rFonts w:ascii="Arial" w:cs="Arial" w:eastAsia="Arial" w:hAnsi="Arial"/>
          <w:b/>
          <w:bCs/>
          <w:color w:val="1F4E79"/>
          <w:sz w:val="24"/>
          <w:szCs w:val="24"/>
        </w:rPr>
        <w:t xml:space="preserve">1. Cabinet Memorandum Service (cab-memo)</w:t>
      </w:r>
    </w:p>
    <w:p>
      <w:pPr>
        <w:spacing w:after="60" w:before="60"/>
      </w:pPr>
      <w:r>
        <w:rPr>
          <w:rFonts w:ascii="Arial" w:cs="Arial" w:eastAsia="Arial" w:hAnsi="Arial"/>
          <w:color w:val="2E2E2E"/>
          <w:sz w:val="20"/>
          <w:szCs w:val="20"/>
        </w:rPr>
        <w:t xml:space="preserve">Designed and implemented a mission-critical microservice (port 6005, schema: cab_memos) governing the full lifecycle of Cabinet Memoranda for the Bermuda Government — from initial draft through multi-ministry consultation, Cabinet Secretary sign-off, and final Cabinet review.</w:t>
      </w:r>
    </w:p>
    <w:p>
      <w:pPr>
        <w:spacing w:after="0" w:before="60"/>
      </w:pPr>
      <w:r>
        <w:t xml:space="preserve"/>
      </w:r>
    </w:p>
    <w:p>
      <w:pPr>
        <w:spacing w:after="60" w:before="160"/>
      </w:pPr>
      <w:r>
        <w:rPr>
          <w:rFonts w:ascii="Arial" w:cs="Arial" w:eastAsia="Arial" w:hAnsi="Arial"/>
          <w:b/>
          <w:bCs/>
          <w:i/>
          <w:iCs/>
          <w:color w:val="595959"/>
          <w:sz w:val="22"/>
          <w:szCs w:val="22"/>
        </w:rPr>
        <w:t xml:space="preserve">Multi-Phase Workflow Engine</w:t>
      </w:r>
    </w:p>
    <w:p>
      <w:pPr>
        <w:pStyle w:val="ListParagraph"/>
        <w:numPr>
          <w:ilvl w:val="0"/>
          <w:numId w:val="2"/>
        </w:numPr>
        <w:spacing w:after="40" w:before="40"/>
      </w:pPr>
      <w:r>
        <w:rPr>
          <w:rFonts w:ascii="Arial" w:cs="Arial" w:eastAsia="Arial" w:hAnsi="Arial"/>
          <w:color w:val="2E2E2E"/>
          <w:sz w:val="20"/>
          <w:szCs w:val="20"/>
        </w:rPr>
        <w:t xml:space="preserve">Architected a 6-stage SPC (Special/Policy Committee) workflow engine with strict phase sequencing: Lead PS → Lead Minister → Joint Ministries (sequential) → Consultee Ministries (parallel) → Cabinet Secretary → Carol (Cab Sec Executive).</w:t>
      </w:r>
    </w:p>
    <w:p>
      <w:pPr>
        <w:pStyle w:val="ListParagraph"/>
        <w:numPr>
          <w:ilvl w:val="0"/>
          <w:numId w:val="2"/>
        </w:numPr>
        <w:spacing w:after="40" w:before="40"/>
      </w:pPr>
      <w:r>
        <w:rPr>
          <w:rFonts w:ascii="Arial" w:cs="Arial" w:eastAsia="Arial" w:hAnsi="Arial"/>
          <w:color w:val="2E2E2E"/>
          <w:sz w:val="20"/>
          <w:szCs w:val="20"/>
        </w:rPr>
        <w:t xml:space="preserve">Implemented WorkflowStatus as a full JPA entity (database-backed) rather than a Java enum — enabling DB-driven state queries and full audit trails.</w:t>
      </w:r>
    </w:p>
    <w:p>
      <w:pPr>
        <w:pStyle w:val="ListParagraph"/>
        <w:numPr>
          <w:ilvl w:val="0"/>
          <w:numId w:val="2"/>
        </w:numPr>
        <w:spacing w:after="40" w:before="40"/>
      </w:pPr>
      <w:r>
        <w:rPr>
          <w:rFonts w:ascii="Arial" w:cs="Arial" w:eastAsia="Arial" w:hAnsi="Arial"/>
          <w:color w:val="2E2E2E"/>
          <w:sz w:val="20"/>
          <w:szCs w:val="20"/>
        </w:rPr>
        <w:t xml:space="preserve">Designed getWorkflowInstance() to always resolve the latest active instance via id DESC ordering, correctly handling resubmissions and recalls.</w:t>
      </w:r>
    </w:p>
    <w:p>
      <w:pPr>
        <w:pStyle w:val="ListParagraph"/>
        <w:numPr>
          <w:ilvl w:val="0"/>
          <w:numId w:val="2"/>
        </w:numPr>
        <w:spacing w:after="40" w:before="40"/>
      </w:pPr>
      <w:r>
        <w:rPr>
          <w:rFonts w:ascii="Arial" w:cs="Arial" w:eastAsia="Arial" w:hAnsi="Arial"/>
          <w:color w:val="2E2E2E"/>
          <w:sz w:val="20"/>
          <w:szCs w:val="20"/>
        </w:rPr>
        <w:t xml:space="preserve">Built distinct action differentiation for Minister roles — separating Approve, Reject, Request Amendment, and Recall flows with dedicated business logic per role.</w:t>
      </w:r>
    </w:p>
    <w:p>
      <w:pPr>
        <w:pStyle w:val="ListParagraph"/>
        <w:numPr>
          <w:ilvl w:val="0"/>
          <w:numId w:val="2"/>
        </w:numPr>
        <w:spacing w:after="40" w:before="40"/>
      </w:pPr>
      <w:r>
        <w:rPr>
          <w:rFonts w:ascii="Arial" w:cs="Arial" w:eastAsia="Arial" w:hAnsi="Arial"/>
          <w:color w:val="2E2E2E"/>
          <w:sz w:val="20"/>
          <w:szCs w:val="20"/>
        </w:rPr>
        <w:t xml:space="preserve">Implemented recall/resubmit logic allowing memo originators to withdraw and revise submissions mid-workflow without losing audit history.</w:t>
      </w:r>
    </w:p>
    <w:p>
      <w:pPr>
        <w:pStyle w:val="ListParagraph"/>
        <w:numPr>
          <w:ilvl w:val="0"/>
          <w:numId w:val="2"/>
        </w:numPr>
        <w:spacing w:after="40" w:before="40"/>
      </w:pPr>
      <w:r>
        <w:rPr>
          <w:rFonts w:ascii="Arial" w:cs="Arial" w:eastAsia="Arial" w:hAnsi="Arial"/>
          <w:color w:val="2E2E2E"/>
          <w:sz w:val="20"/>
          <w:szCs w:val="20"/>
        </w:rPr>
        <w:t xml:space="preserve">Separated SPC phase tracking (stored on WorkflowInstance) from step order derivation (computed dynamically from max existing step), fixing a critical architectural bug where phase numbers were incorrectly incremented on every workflow action.</w:t>
      </w:r>
    </w:p>
    <w:p>
      <w:pPr>
        <w:pStyle w:val="ListParagraph"/>
        <w:numPr>
          <w:ilvl w:val="0"/>
          <w:numId w:val="2"/>
        </w:numPr>
        <w:spacing w:after="40" w:before="40"/>
      </w:pPr>
      <w:r>
        <w:rPr>
          <w:rFonts w:ascii="Arial" w:cs="Arial" w:eastAsia="Arial" w:hAnsi="Arial"/>
          <w:color w:val="2E2E2E"/>
          <w:sz w:val="20"/>
          <w:szCs w:val="20"/>
        </w:rPr>
        <w:t xml:space="preserve">Enforced comment type varchar(30) constraints across abs_comments with a validated comment type taxonomy per workflow action.</w:t>
      </w:r>
    </w:p>
    <w:p>
      <w:pPr>
        <w:spacing w:after="0" w:before="60"/>
      </w:pPr>
      <w:r>
        <w:t xml:space="preserve"/>
      </w:r>
    </w:p>
    <w:p>
      <w:pPr>
        <w:spacing w:after="60" w:before="160"/>
      </w:pPr>
      <w:r>
        <w:rPr>
          <w:rFonts w:ascii="Arial" w:cs="Arial" w:eastAsia="Arial" w:hAnsi="Arial"/>
          <w:b/>
          <w:bCs/>
          <w:i/>
          <w:iCs/>
          <w:color w:val="595959"/>
          <w:sz w:val="22"/>
          <w:szCs w:val="22"/>
        </w:rPr>
        <w:t xml:space="preserve">Signature &amp; Approval Handling</w:t>
      </w:r>
    </w:p>
    <w:p>
      <w:pPr>
        <w:pStyle w:val="ListParagraph"/>
        <w:numPr>
          <w:ilvl w:val="0"/>
          <w:numId w:val="2"/>
        </w:numPr>
        <w:spacing w:after="40" w:before="40"/>
      </w:pPr>
      <w:r>
        <w:rPr>
          <w:rFonts w:ascii="Arial" w:cs="Arial" w:eastAsia="Arial" w:hAnsi="Arial"/>
          <w:color w:val="2E2E2E"/>
          <w:sz w:val="20"/>
          <w:szCs w:val="20"/>
        </w:rPr>
        <w:t xml:space="preserve">Stored digital signatures and approvals in abs_memo_signatures table, linked per WorkflowInstance, enabling per-phase signature replay for PDF generation.</w:t>
      </w:r>
    </w:p>
    <w:p>
      <w:pPr>
        <w:pStyle w:val="ListParagraph"/>
        <w:numPr>
          <w:ilvl w:val="0"/>
          <w:numId w:val="2"/>
        </w:numPr>
        <w:spacing w:after="40" w:before="40"/>
      </w:pPr>
      <w:r>
        <w:rPr>
          <w:rFonts w:ascii="Arial" w:cs="Arial" w:eastAsia="Arial" w:hAnsi="Arial"/>
          <w:color w:val="2E2E2E"/>
          <w:sz w:val="20"/>
          <w:szCs w:val="20"/>
        </w:rPr>
        <w:t xml:space="preserve">Implemented server-side signature capture with GCS integration — signature images stored securely and retrieved via signed URLs for document rendering.</w:t>
      </w:r>
    </w:p>
    <w:p>
      <w:pPr>
        <w:pStyle w:val="ListParagraph"/>
        <w:numPr>
          <w:ilvl w:val="0"/>
          <w:numId w:val="2"/>
        </w:numPr>
        <w:spacing w:after="40" w:before="40"/>
      </w:pPr>
      <w:r>
        <w:rPr>
          <w:rFonts w:ascii="Arial" w:cs="Arial" w:eastAsia="Arial" w:hAnsi="Arial"/>
          <w:color w:val="2E2E2E"/>
          <w:sz w:val="20"/>
          <w:szCs w:val="20"/>
        </w:rPr>
        <w:t xml:space="preserve">Hardcoded placeholder IDs for Cabinet Secretary, Carol, and Premier roles as an intentional design decision, with clear DB-lookup upgrade path documented.</w:t>
      </w:r>
    </w:p>
    <w:p>
      <w:pPr>
        <w:spacing w:after="0" w:before="60"/>
      </w:pPr>
      <w:r>
        <w:t xml:space="preserve"/>
      </w:r>
    </w:p>
    <w:p>
      <w:pPr>
        <w:spacing w:after="60" w:before="160"/>
      </w:pPr>
      <w:r>
        <w:rPr>
          <w:rFonts w:ascii="Arial" w:cs="Arial" w:eastAsia="Arial" w:hAnsi="Arial"/>
          <w:b/>
          <w:bCs/>
          <w:i/>
          <w:iCs/>
          <w:color w:val="595959"/>
          <w:sz w:val="22"/>
          <w:szCs w:val="22"/>
        </w:rPr>
        <w:t xml:space="preserve">PDF Generation Pipeline</w:t>
      </w:r>
    </w:p>
    <w:p>
      <w:pPr>
        <w:pStyle w:val="ListParagraph"/>
        <w:numPr>
          <w:ilvl w:val="0"/>
          <w:numId w:val="2"/>
        </w:numPr>
        <w:spacing w:after="40" w:before="40"/>
      </w:pPr>
      <w:r>
        <w:rPr>
          <w:rFonts w:ascii="Arial" w:cs="Arial" w:eastAsia="Arial" w:hAnsi="Arial"/>
          <w:color w:val="2E2E2E"/>
          <w:sz w:val="20"/>
          <w:szCs w:val="20"/>
        </w:rPr>
        <w:t xml:space="preserve">Implemented a production-grade Cabinet Memorandum PDF generation pipeline using iText7 (html2pdf) — migrated away from openhtmltopdf for performance and rendering consistency.</w:t>
      </w:r>
    </w:p>
    <w:p>
      <w:pPr>
        <w:pStyle w:val="ListParagraph"/>
        <w:numPr>
          <w:ilvl w:val="0"/>
          <w:numId w:val="2"/>
        </w:numPr>
        <w:spacing w:after="40" w:before="40"/>
      </w:pPr>
      <w:r>
        <w:rPr>
          <w:rFonts w:ascii="Arial" w:cs="Arial" w:eastAsia="Arial" w:hAnsi="Arial"/>
          <w:color w:val="2E2E2E"/>
          <w:sz w:val="20"/>
          <w:szCs w:val="20"/>
        </w:rPr>
        <w:t xml:space="preserve">Engineered a single-pass rendering approach: memo content, signatures (inline base64 images), metadata, and formatting all rendered in one iText HTML template pass — eliminating the need for PDFBox post-processing.</w:t>
      </w:r>
    </w:p>
    <w:p>
      <w:pPr>
        <w:pStyle w:val="ListParagraph"/>
        <w:numPr>
          <w:ilvl w:val="0"/>
          <w:numId w:val="2"/>
        </w:numPr>
        <w:spacing w:after="40" w:before="40"/>
      </w:pPr>
      <w:r>
        <w:rPr>
          <w:rFonts w:ascii="Arial" w:cs="Arial" w:eastAsia="Arial" w:hAnsi="Arial"/>
          <w:color w:val="2E2E2E"/>
          <w:sz w:val="20"/>
          <w:szCs w:val="20"/>
        </w:rPr>
        <w:t xml:space="preserve">Upgraded and then fully eliminated PDFBox (migrated from 2.x to 3.x API, then removed entirely) in favour of the cleaner iText single-pass model.</w:t>
      </w:r>
    </w:p>
    <w:p>
      <w:pPr>
        <w:pStyle w:val="ListParagraph"/>
        <w:numPr>
          <w:ilvl w:val="0"/>
          <w:numId w:val="2"/>
        </w:numPr>
        <w:spacing w:after="40" w:before="40"/>
      </w:pPr>
      <w:r>
        <w:rPr>
          <w:rFonts w:ascii="Arial" w:cs="Arial" w:eastAsia="Arial" w:hAnsi="Arial"/>
          <w:color w:val="2E2E2E"/>
          <w:sz w:val="20"/>
          <w:szCs w:val="20"/>
        </w:rPr>
        <w:t xml:space="preserve">Document layout follows actual Bermuda Cabinet Memorandum formatting conventions (header structure, section ordering, signatory blocks).</w:t>
      </w:r>
    </w:p>
    <w:p>
      <w:pPr>
        <w:spacing w:after="0" w:before="60"/>
      </w:pPr>
      <w:r>
        <w:t xml:space="preserve"/>
      </w:r>
    </w:p>
    <w:p>
      <w:pPr>
        <w:spacing w:after="60" w:before="160"/>
      </w:pPr>
      <w:r>
        <w:rPr>
          <w:rFonts w:ascii="Arial" w:cs="Arial" w:eastAsia="Arial" w:hAnsi="Arial"/>
          <w:b/>
          <w:bCs/>
          <w:i/>
          <w:iCs/>
          <w:color w:val="595959"/>
          <w:sz w:val="22"/>
          <w:szCs w:val="22"/>
        </w:rPr>
        <w:t xml:space="preserve">GCS &amp; Secure File Handling</w:t>
      </w:r>
    </w:p>
    <w:p>
      <w:pPr>
        <w:pStyle w:val="ListParagraph"/>
        <w:numPr>
          <w:ilvl w:val="0"/>
          <w:numId w:val="2"/>
        </w:numPr>
        <w:spacing w:after="40" w:before="40"/>
      </w:pPr>
      <w:r>
        <w:rPr>
          <w:rFonts w:ascii="Arial" w:cs="Arial" w:eastAsia="Arial" w:hAnsi="Arial"/>
          <w:color w:val="2E2E2E"/>
          <w:sz w:val="20"/>
          <w:szCs w:val="20"/>
        </w:rPr>
        <w:t xml:space="preserve">Implemented GCS signed URL generation (V4 signatures) for secure, time-limited document access — all file operations handled server-side.</w:t>
      </w:r>
    </w:p>
    <w:p>
      <w:pPr>
        <w:pStyle w:val="ListParagraph"/>
        <w:numPr>
          <w:ilvl w:val="0"/>
          <w:numId w:val="2"/>
        </w:numPr>
        <w:spacing w:after="40" w:before="40"/>
      </w:pPr>
      <w:r>
        <w:rPr>
          <w:rFonts w:ascii="Arial" w:cs="Arial" w:eastAsia="Arial" w:hAnsi="Arial"/>
          <w:color w:val="2E2E2E"/>
          <w:sz w:val="20"/>
          <w:szCs w:val="20"/>
        </w:rPr>
        <w:t xml:space="preserve">Resolved a critical GL-1001 signed URL error caused by double impersonation in GcsConfig.java — fix involved removing the ImpersonatedCredentials wrapper and using GoogleCredentials.getApplicationDefault().createScoped(...) directly.</w:t>
      </w:r>
    </w:p>
    <w:p>
      <w:pPr>
        <w:pStyle w:val="ListParagraph"/>
        <w:numPr>
          <w:ilvl w:val="0"/>
          <w:numId w:val="2"/>
        </w:numPr>
        <w:spacing w:after="40" w:before="40"/>
      </w:pPr>
      <w:r>
        <w:rPr>
          <w:rFonts w:ascii="Arial" w:cs="Arial" w:eastAsia="Arial" w:hAnsi="Arial"/>
          <w:color w:val="2E2E2E"/>
          <w:sz w:val="20"/>
          <w:szCs w:val="20"/>
        </w:rPr>
        <w:t xml:space="preserve">Configured Cloud KMS CMEK-encrypted GCS buckets for document storage, aligning with GOB data sovereignty requirements.</w:t>
      </w:r>
    </w:p>
    <w:p>
      <w:pPr>
        <w:pStyle w:val="ListParagraph"/>
        <w:numPr>
          <w:ilvl w:val="0"/>
          <w:numId w:val="2"/>
        </w:numPr>
        <w:spacing w:after="40" w:before="40"/>
      </w:pPr>
      <w:r>
        <w:rPr>
          <w:rFonts w:ascii="Arial" w:cs="Arial" w:eastAsia="Arial" w:hAnsi="Arial"/>
          <w:color w:val="2E2E2E"/>
          <w:sz w:val="20"/>
          <w:szCs w:val="20"/>
        </w:rPr>
        <w:t xml:space="preserve">Set up local Application Default Credentials (ADC) via gcloud auth application-default login with service account impersonation for the prj-gob-ss-oss-portal-d GCP project.</w:t>
      </w:r>
    </w:p>
    <w:p>
      <w:pPr>
        <w:spacing w:after="0" w:before="100"/>
      </w:pPr>
      <w:r>
        <w:t xml:space="preserve"/>
      </w:r>
    </w:p>
    <w:p>
      <w:pPr>
        <w:pStyle w:val="Heading2"/>
        <w:spacing w:after="100" w:before="240"/>
      </w:pPr>
      <w:r>
        <w:rPr>
          <w:rFonts w:ascii="Arial" w:cs="Arial" w:eastAsia="Arial" w:hAnsi="Arial"/>
          <w:b/>
          <w:bCs/>
          <w:color w:val="1F4E79"/>
          <w:sz w:val="24"/>
          <w:szCs w:val="24"/>
        </w:rPr>
        <w:t xml:space="preserve">2. Summer Camp Lottery &amp; Waitlist System</w:t>
      </w:r>
    </w:p>
    <w:p>
      <w:pPr>
        <w:spacing w:after="60" w:before="60"/>
      </w:pPr>
      <w:r>
        <w:rPr>
          <w:rFonts w:ascii="Arial" w:cs="Arial" w:eastAsia="Arial" w:hAnsi="Arial"/>
          <w:color w:val="2E2E2E"/>
          <w:sz w:val="20"/>
          <w:szCs w:val="20"/>
        </w:rPr>
        <w:t xml:space="preserve">Designed and implemented a lottery and waitlist management microservice for the GOB Summer Camp programme — handling fair randomised allocation of camp places with complex family grouping and priority weighting requirements.</w:t>
      </w:r>
    </w:p>
    <w:p>
      <w:pPr>
        <w:spacing w:after="0" w:before="60"/>
      </w:pPr>
      <w:r>
        <w:t xml:space="preserve"/>
      </w:r>
    </w:p>
    <w:p>
      <w:pPr>
        <w:spacing w:after="60" w:before="160"/>
      </w:pPr>
      <w:r>
        <w:rPr>
          <w:rFonts w:ascii="Arial" w:cs="Arial" w:eastAsia="Arial" w:hAnsi="Arial"/>
          <w:b/>
          <w:bCs/>
          <w:i/>
          <w:iCs/>
          <w:color w:val="595959"/>
          <w:sz w:val="22"/>
          <w:szCs w:val="22"/>
        </w:rPr>
        <w:t xml:space="preserve">Lottery Engine</w:t>
      </w:r>
    </w:p>
    <w:p>
      <w:pPr>
        <w:pStyle w:val="ListParagraph"/>
        <w:numPr>
          <w:ilvl w:val="0"/>
          <w:numId w:val="2"/>
        </w:numPr>
        <w:spacing w:after="40" w:before="40"/>
      </w:pPr>
      <w:r>
        <w:rPr>
          <w:rFonts w:ascii="Arial" w:cs="Arial" w:eastAsia="Arial" w:hAnsi="Arial"/>
          <w:color w:val="2E2E2E"/>
          <w:sz w:val="20"/>
          <w:szCs w:val="20"/>
        </w:rPr>
        <w:t xml:space="preserve">Implemented weighted random selection algorithm ensuring statistically fair camp place allocation while supporting configurable priority tiers (e.g. returning attendees, financial assistance eligibility).</w:t>
      </w:r>
    </w:p>
    <w:p>
      <w:pPr>
        <w:pStyle w:val="ListParagraph"/>
        <w:numPr>
          <w:ilvl w:val="0"/>
          <w:numId w:val="2"/>
        </w:numPr>
        <w:spacing w:after="40" w:before="40"/>
      </w:pPr>
      <w:r>
        <w:rPr>
          <w:rFonts w:ascii="Arial" w:cs="Arial" w:eastAsia="Arial" w:hAnsi="Arial"/>
          <w:color w:val="2E2E2E"/>
          <w:sz w:val="20"/>
          <w:szCs w:val="20"/>
        </w:rPr>
        <w:t xml:space="preserve">Built atomic family group handling — ensuring siblings and family units are processed as a single indivisible lottery entry, preventing partial family allocations.</w:t>
      </w:r>
    </w:p>
    <w:p>
      <w:pPr>
        <w:pStyle w:val="ListParagraph"/>
        <w:numPr>
          <w:ilvl w:val="0"/>
          <w:numId w:val="2"/>
        </w:numPr>
        <w:spacing w:after="40" w:before="40"/>
      </w:pPr>
      <w:r>
        <w:rPr>
          <w:rFonts w:ascii="Arial" w:cs="Arial" w:eastAsia="Arial" w:hAnsi="Arial"/>
          <w:color w:val="2E2E2E"/>
          <w:sz w:val="20"/>
          <w:szCs w:val="20"/>
        </w:rPr>
        <w:t xml:space="preserve">Designed lottery execution as a transactional, idempotent operation — safe to re-run in testing without corrupting live draw results.</w:t>
      </w:r>
    </w:p>
    <w:p>
      <w:pPr>
        <w:spacing w:after="0" w:before="60"/>
      </w:pPr>
      <w:r>
        <w:t xml:space="preserve"/>
      </w:r>
    </w:p>
    <w:p>
      <w:pPr>
        <w:spacing w:after="60" w:before="160"/>
      </w:pPr>
      <w:r>
        <w:rPr>
          <w:rFonts w:ascii="Arial" w:cs="Arial" w:eastAsia="Arial" w:hAnsi="Arial"/>
          <w:b/>
          <w:bCs/>
          <w:i/>
          <w:iCs/>
          <w:color w:val="595959"/>
          <w:sz w:val="22"/>
          <w:szCs w:val="22"/>
        </w:rPr>
        <w:t xml:space="preserve">Waitlist Service</w:t>
      </w:r>
    </w:p>
    <w:p>
      <w:pPr>
        <w:pStyle w:val="ListParagraph"/>
        <w:numPr>
          <w:ilvl w:val="0"/>
          <w:numId w:val="2"/>
        </w:numPr>
        <w:spacing w:after="40" w:before="40"/>
      </w:pPr>
      <w:r>
        <w:rPr>
          <w:rFonts w:ascii="Arial" w:cs="Arial" w:eastAsia="Arial" w:hAnsi="Arial"/>
          <w:color w:val="2E2E2E"/>
          <w:sz w:val="20"/>
          <w:szCs w:val="20"/>
        </w:rPr>
        <w:t xml:space="preserve">Implemented automatic waitlist promotion logic — when a confirmed place is vacated, the next eligible family group on the waitlist is promoted atomically.</w:t>
      </w:r>
    </w:p>
    <w:p>
      <w:pPr>
        <w:pStyle w:val="ListParagraph"/>
        <w:numPr>
          <w:ilvl w:val="0"/>
          <w:numId w:val="2"/>
        </w:numPr>
        <w:spacing w:after="40" w:before="40"/>
      </w:pPr>
      <w:r>
        <w:rPr>
          <w:rFonts w:ascii="Arial" w:cs="Arial" w:eastAsia="Arial" w:hAnsi="Arial"/>
          <w:color w:val="2E2E2E"/>
          <w:sz w:val="20"/>
          <w:szCs w:val="20"/>
        </w:rPr>
        <w:t xml:space="preserve">Designed waitlist ordering to respect original lottery rank, ensuring fairness in promotion sequencing.</w:t>
      </w:r>
    </w:p>
    <w:p>
      <w:pPr>
        <w:pStyle w:val="ListParagraph"/>
        <w:numPr>
          <w:ilvl w:val="0"/>
          <w:numId w:val="2"/>
        </w:numPr>
        <w:spacing w:after="40" w:before="40"/>
      </w:pPr>
      <w:r>
        <w:rPr>
          <w:rFonts w:ascii="Arial" w:cs="Arial" w:eastAsia="Arial" w:hAnsi="Arial"/>
          <w:color w:val="2E2E2E"/>
          <w:sz w:val="20"/>
          <w:szCs w:val="20"/>
        </w:rPr>
        <w:t xml:space="preserve">Built notification hooks for status transitions (lottery result, waitlist promotion, confirmation deadline) aligned with GOB communication workflows.</w:t>
      </w:r>
    </w:p>
    <w:p>
      <w:pPr>
        <w:spacing w:after="0" w:before="60"/>
      </w:pPr>
      <w:r>
        <w:t xml:space="preserve"/>
      </w:r>
    </w:p>
    <w:p>
      <w:pPr>
        <w:spacing w:after="60" w:before="160"/>
      </w:pPr>
      <w:r>
        <w:rPr>
          <w:rFonts w:ascii="Arial" w:cs="Arial" w:eastAsia="Arial" w:hAnsi="Arial"/>
          <w:b/>
          <w:bCs/>
          <w:i/>
          <w:iCs/>
          <w:color w:val="595959"/>
          <w:sz w:val="22"/>
          <w:szCs w:val="22"/>
        </w:rPr>
        <w:t xml:space="preserve">Data &amp; Testing Infrastructure</w:t>
      </w:r>
    </w:p>
    <w:p>
      <w:pPr>
        <w:pStyle w:val="ListParagraph"/>
        <w:numPr>
          <w:ilvl w:val="0"/>
          <w:numId w:val="2"/>
        </w:numPr>
        <w:spacing w:after="40" w:before="40"/>
      </w:pPr>
      <w:r>
        <w:rPr>
          <w:rFonts w:ascii="Arial" w:cs="Arial" w:eastAsia="Arial" w:hAnsi="Arial"/>
          <w:color w:val="2E2E2E"/>
          <w:sz w:val="20"/>
          <w:szCs w:val="20"/>
        </w:rPr>
        <w:t xml:space="preserve">Authored comprehensive SQL seed data scripts for testing lottery scenarios — covering edge cases including tie-breaking, family group boundary conditions, and waitlist exhaustion.</w:t>
      </w:r>
    </w:p>
    <w:p>
      <w:pPr>
        <w:pStyle w:val="ListParagraph"/>
        <w:numPr>
          <w:ilvl w:val="0"/>
          <w:numId w:val="2"/>
        </w:numPr>
        <w:spacing w:after="40" w:before="40"/>
      </w:pPr>
      <w:r>
        <w:rPr>
          <w:rFonts w:ascii="Arial" w:cs="Arial" w:eastAsia="Arial" w:hAnsi="Arial"/>
          <w:color w:val="2E2E2E"/>
          <w:sz w:val="20"/>
          <w:szCs w:val="20"/>
        </w:rPr>
        <w:t xml:space="preserve">Designed PostgreSQL schema for lottery runs, applicant pools, waitlist positions, and family group mappings.</w:t>
      </w:r>
    </w:p>
    <w:p>
      <w:pPr>
        <w:spacing w:after="0" w:before="100"/>
      </w:pPr>
      <w:r>
        <w:t xml:space="preserve"/>
      </w:r>
    </w:p>
    <w:p>
      <w:pPr>
        <w:pStyle w:val="Heading2"/>
        <w:spacing w:after="100" w:before="240"/>
      </w:pPr>
      <w:r>
        <w:rPr>
          <w:rFonts w:ascii="Arial" w:cs="Arial" w:eastAsia="Arial" w:hAnsi="Arial"/>
          <w:b/>
          <w:bCs/>
          <w:color w:val="1F4E79"/>
          <w:sz w:val="24"/>
          <w:szCs w:val="24"/>
        </w:rPr>
        <w:t xml:space="preserve">3. GCP Integration &amp; Identity / SSO</w:t>
      </w:r>
    </w:p>
    <w:p>
      <w:pPr>
        <w:pStyle w:val="ListParagraph"/>
        <w:numPr>
          <w:ilvl w:val="0"/>
          <w:numId w:val="2"/>
        </w:numPr>
        <w:spacing w:after="40" w:before="40"/>
      </w:pPr>
      <w:r>
        <w:rPr>
          <w:rFonts w:ascii="Arial" w:cs="Arial" w:eastAsia="Arial" w:hAnsi="Arial"/>
          <w:color w:val="2E2E2E"/>
          <w:sz w:val="20"/>
          <w:szCs w:val="20"/>
        </w:rPr>
        <w:t xml:space="preserve">Integrated GCP Identity Platform (GCIP) with Microsoft Entra ID (Azure AD) as the identity provider — enabling SSO for GOB staff via OIDC/SAML federation.</w:t>
      </w:r>
    </w:p>
    <w:p>
      <w:pPr>
        <w:pStyle w:val="ListParagraph"/>
        <w:numPr>
          <w:ilvl w:val="0"/>
          <w:numId w:val="2"/>
        </w:numPr>
        <w:spacing w:after="40" w:before="40"/>
      </w:pPr>
      <w:r>
        <w:rPr>
          <w:rFonts w:ascii="Arial" w:cs="Arial" w:eastAsia="Arial" w:hAnsi="Arial"/>
          <w:color w:val="2E2E2E"/>
          <w:sz w:val="20"/>
          <w:szCs w:val="20"/>
        </w:rPr>
        <w:t xml:space="preserve">Produced both internal technical architecture documents and GOB-facing integration guides covering the GCIP/Entra ID SSO setup, tenant configuration, and claim mapping.</w:t>
      </w:r>
    </w:p>
    <w:p>
      <w:pPr>
        <w:pStyle w:val="ListParagraph"/>
        <w:numPr>
          <w:ilvl w:val="0"/>
          <w:numId w:val="2"/>
        </w:numPr>
        <w:spacing w:after="40" w:before="40"/>
      </w:pPr>
      <w:r>
        <w:rPr>
          <w:rFonts w:ascii="Arial" w:cs="Arial" w:eastAsia="Arial" w:hAnsi="Arial"/>
          <w:color w:val="2E2E2E"/>
          <w:sz w:val="20"/>
          <w:szCs w:val="20"/>
        </w:rPr>
        <w:t xml:space="preserve">Configured Cloud Run deployments for containerised Spring Boot microservices — handling environment variables, service account bindings, and ingress configuration.</w:t>
      </w:r>
    </w:p>
    <w:p>
      <w:pPr>
        <w:pStyle w:val="ListParagraph"/>
        <w:numPr>
          <w:ilvl w:val="0"/>
          <w:numId w:val="2"/>
        </w:numPr>
        <w:spacing w:after="40" w:before="40"/>
      </w:pPr>
      <w:r>
        <w:rPr>
          <w:rFonts w:ascii="Arial" w:cs="Arial" w:eastAsia="Arial" w:hAnsi="Arial"/>
          <w:color w:val="2E2E2E"/>
          <w:sz w:val="20"/>
          <w:szCs w:val="20"/>
        </w:rPr>
        <w:t xml:space="preserve">Implemented token-based API authentication (JWT) with GCIP-issued tokens, validated at the microservice layer.</w:t>
      </w:r>
    </w:p>
    <w:p>
      <w:pPr>
        <w:pStyle w:val="ListParagraph"/>
        <w:numPr>
          <w:ilvl w:val="0"/>
          <w:numId w:val="2"/>
        </w:numPr>
        <w:spacing w:after="40" w:before="40"/>
      </w:pPr>
      <w:r>
        <w:rPr>
          <w:rFonts w:ascii="Arial" w:cs="Arial" w:eastAsia="Arial" w:hAnsi="Arial"/>
          <w:color w:val="2E2E2E"/>
          <w:sz w:val="20"/>
          <w:szCs w:val="20"/>
        </w:rPr>
        <w:t xml:space="preserve">Managed GCP project-level IAM, service account permissions, and workload identity for secure service-to-service communication.</w:t>
      </w:r>
    </w:p>
    <w:p>
      <w:pPr>
        <w:spacing w:after="0" w:before="100"/>
      </w:pPr>
      <w:r>
        <w:t xml:space="preserve"/>
      </w:r>
    </w:p>
    <w:p>
      <w:pPr>
        <w:pStyle w:val="Heading2"/>
        <w:spacing w:after="100" w:before="240"/>
      </w:pPr>
      <w:r>
        <w:rPr>
          <w:rFonts w:ascii="Arial" w:cs="Arial" w:eastAsia="Arial" w:hAnsi="Arial"/>
          <w:b/>
          <w:bCs/>
          <w:color w:val="1F4E79"/>
          <w:sz w:val="24"/>
          <w:szCs w:val="24"/>
        </w:rPr>
        <w:t xml:space="preserve">4. Google Application Integration – Exhibitions System</w:t>
      </w:r>
    </w:p>
    <w:p>
      <w:pPr>
        <w:pStyle w:val="ListParagraph"/>
        <w:numPr>
          <w:ilvl w:val="0"/>
          <w:numId w:val="2"/>
        </w:numPr>
        <w:spacing w:after="40" w:before="40"/>
      </w:pPr>
      <w:r>
        <w:rPr>
          <w:rFonts w:ascii="Arial" w:cs="Arial" w:eastAsia="Arial" w:hAnsi="Arial"/>
          <w:color w:val="2E2E2E"/>
          <w:sz w:val="20"/>
          <w:szCs w:val="20"/>
        </w:rPr>
        <w:t xml:space="preserve">Authored complex PostgreSQL connector queries within Google Application Integration for a GOB exhibitions management system (exhibitions schema), including multi-branch UNION ALL constructs.</w:t>
      </w:r>
    </w:p>
    <w:p>
      <w:pPr>
        <w:pStyle w:val="ListParagraph"/>
        <w:numPr>
          <w:ilvl w:val="0"/>
          <w:numId w:val="2"/>
        </w:numPr>
        <w:spacing w:after="40" w:before="40"/>
      </w:pPr>
      <w:r>
        <w:rPr>
          <w:rFonts w:ascii="Arial" w:cs="Arial" w:eastAsia="Arial" w:hAnsi="Arial"/>
          <w:color w:val="2E2E2E"/>
          <w:sz w:val="20"/>
          <w:szCs w:val="20"/>
        </w:rPr>
        <w:t xml:space="preserve">Identified and resolved a platform constraint where $N positional bind parameters must appear exactly once per query — engineered a workaround using outer WHERE clause filters to handle shared parameters across UNION ALL branches.</w:t>
      </w:r>
    </w:p>
    <w:p>
      <w:pPr>
        <w:spacing w:after="0" w:before="100"/>
      </w:pPr>
      <w:r>
        <w:t xml:space="preserve"/>
      </w:r>
    </w:p>
    <w:p>
      <w:pPr>
        <w:pStyle w:val="Heading1"/>
        <w:pBdr>
          <w:bottom w:val="single" w:color="2E75B6" w:sz="6" w:space="1"/>
        </w:pBdr>
        <w:spacing w:after="160" w:before="320"/>
      </w:pPr>
      <w:r>
        <w:rPr>
          <w:rFonts w:ascii="Arial" w:cs="Arial" w:eastAsia="Arial" w:hAnsi="Arial"/>
          <w:b/>
          <w:bCs/>
          <w:color w:val="1F4E79"/>
          <w:sz w:val="28"/>
          <w:szCs w:val="28"/>
        </w:rPr>
        <w:t xml:space="preserve">MTN Group – Telecom API Platforms</w:t>
      </w:r>
    </w:p>
    <w:p>
      <w:pPr>
        <w:spacing w:after="60" w:before="60"/>
      </w:pPr>
      <w:r>
        <w:rPr>
          <w:rFonts w:ascii="Arial" w:cs="Arial" w:eastAsia="Arial" w:hAnsi="Arial"/>
          <w:i/>
          <w:iCs/>
          <w:color w:val="595959"/>
          <w:sz w:val="20"/>
          <w:szCs w:val="20"/>
        </w:rPr>
        <w:t xml:space="preserve">Client: MTN South Africa  |  Delivery: Abacus Cambridge Partners</w:t>
      </w:r>
    </w:p>
    <w:p>
      <w:pPr>
        <w:spacing w:after="60" w:before="60"/>
      </w:pPr>
      <w:r>
        <w:rPr>
          <w:rFonts w:ascii="Arial" w:cs="Arial" w:eastAsia="Arial" w:hAnsi="Arial"/>
          <w:i/>
          <w:iCs/>
          <w:color w:val="595959"/>
          <w:sz w:val="20"/>
          <w:szCs w:val="20"/>
        </w:rPr>
        <w:t xml:space="preserve">Stack: Java · Spring Boot · REST APIs · TMF Open APIs · Event-driven architecture · Telecom domain integrations</w:t>
      </w:r>
    </w:p>
    <w:p>
      <w:pPr>
        <w:spacing w:after="0" w:before="80"/>
      </w:pPr>
      <w:r>
        <w:t xml:space="preserve"/>
      </w:r>
    </w:p>
    <w:p>
      <w:pPr>
        <w:pStyle w:val="Heading2"/>
        <w:spacing w:after="100" w:before="240"/>
      </w:pPr>
      <w:r>
        <w:rPr>
          <w:rFonts w:ascii="Arial" w:cs="Arial" w:eastAsia="Arial" w:hAnsi="Arial"/>
          <w:b/>
          <w:bCs/>
          <w:color w:val="1F4E79"/>
          <w:sz w:val="24"/>
          <w:szCs w:val="24"/>
        </w:rPr>
        <w:t xml:space="preserve">Chenosis – Developer API Marketplace</w:t>
      </w:r>
    </w:p>
    <w:p>
      <w:pPr>
        <w:pStyle w:val="ListParagraph"/>
        <w:numPr>
          <w:ilvl w:val="0"/>
          <w:numId w:val="2"/>
        </w:numPr>
        <w:spacing w:after="40" w:before="40"/>
      </w:pPr>
      <w:r>
        <w:rPr>
          <w:rFonts w:ascii="Arial" w:cs="Arial" w:eastAsia="Arial" w:hAnsi="Arial"/>
          <w:color w:val="2E2E2E"/>
          <w:sz w:val="20"/>
          <w:szCs w:val="20"/>
        </w:rPr>
        <w:t xml:space="preserve">Built and maintained high-performance backend microservices supporting telecom-grade API traffic for the Chenosis developer API marketplace platform.</w:t>
      </w:r>
    </w:p>
    <w:p>
      <w:pPr>
        <w:pStyle w:val="ListParagraph"/>
        <w:numPr>
          <w:ilvl w:val="0"/>
          <w:numId w:val="2"/>
        </w:numPr>
        <w:spacing w:after="40" w:before="40"/>
      </w:pPr>
      <w:r>
        <w:rPr>
          <w:rFonts w:ascii="Arial" w:cs="Arial" w:eastAsia="Arial" w:hAnsi="Arial"/>
          <w:color w:val="2E2E2E"/>
          <w:sz w:val="20"/>
          <w:szCs w:val="20"/>
        </w:rPr>
        <w:t xml:space="preserve">Implemented subscription management services — handling API subscription lifecycle (activation, suspension, termination) with billing integration hooks.</w:t>
      </w:r>
    </w:p>
    <w:p>
      <w:pPr>
        <w:pStyle w:val="ListParagraph"/>
        <w:numPr>
          <w:ilvl w:val="0"/>
          <w:numId w:val="2"/>
        </w:numPr>
        <w:spacing w:after="40" w:before="40"/>
      </w:pPr>
      <w:r>
        <w:rPr>
          <w:rFonts w:ascii="Arial" w:cs="Arial" w:eastAsia="Arial" w:hAnsi="Arial"/>
          <w:color w:val="2E2E2E"/>
          <w:sz w:val="20"/>
          <w:szCs w:val="20"/>
        </w:rPr>
        <w:t xml:space="preserve">Developed usage management services tracking API consumption per subscriber, enforcing quota and rate-limit policies.</w:t>
      </w:r>
    </w:p>
    <w:p>
      <w:pPr>
        <w:pStyle w:val="ListParagraph"/>
        <w:numPr>
          <w:ilvl w:val="0"/>
          <w:numId w:val="2"/>
        </w:numPr>
        <w:spacing w:after="40" w:before="40"/>
      </w:pPr>
      <w:r>
        <w:rPr>
          <w:rFonts w:ascii="Arial" w:cs="Arial" w:eastAsia="Arial" w:hAnsi="Arial"/>
          <w:color w:val="2E2E2E"/>
          <w:sz w:val="20"/>
          <w:szCs w:val="20"/>
        </w:rPr>
        <w:t xml:space="preserve">Designed event-driven architecture components for async subscription and usage event processing.</w:t>
      </w:r>
    </w:p>
    <w:p>
      <w:pPr>
        <w:pStyle w:val="ListParagraph"/>
        <w:numPr>
          <w:ilvl w:val="0"/>
          <w:numId w:val="2"/>
        </w:numPr>
        <w:spacing w:after="40" w:before="40"/>
      </w:pPr>
      <w:r>
        <w:rPr>
          <w:rFonts w:ascii="Arial" w:cs="Arial" w:eastAsia="Arial" w:hAnsi="Arial"/>
          <w:color w:val="2E2E2E"/>
          <w:sz w:val="20"/>
          <w:szCs w:val="20"/>
        </w:rPr>
        <w:t xml:space="preserve">Integrated third-party telecom APIs and internal MTN systems with strict contract-driven schema validation.</w:t>
      </w:r>
    </w:p>
    <w:p>
      <w:pPr>
        <w:pStyle w:val="ListParagraph"/>
        <w:numPr>
          <w:ilvl w:val="0"/>
          <w:numId w:val="2"/>
        </w:numPr>
        <w:spacing w:after="40" w:before="40"/>
      </w:pPr>
      <w:r>
        <w:rPr>
          <w:rFonts w:ascii="Arial" w:cs="Arial" w:eastAsia="Arial" w:hAnsi="Arial"/>
          <w:color w:val="2E2E2E"/>
          <w:sz w:val="20"/>
          <w:szCs w:val="20"/>
        </w:rPr>
        <w:t xml:space="preserve">Participated in production incident debugging and performance optimisation for high-TPS service paths.</w:t>
      </w:r>
    </w:p>
    <w:p>
      <w:pPr>
        <w:spacing w:after="0" w:before="80"/>
      </w:pPr>
      <w:r>
        <w:t xml:space="preserve"/>
      </w:r>
    </w:p>
    <w:p>
      <w:pPr>
        <w:pStyle w:val="Heading2"/>
        <w:spacing w:after="100" w:before="240"/>
      </w:pPr>
      <w:r>
        <w:rPr>
          <w:rFonts w:ascii="Arial" w:cs="Arial" w:eastAsia="Arial" w:hAnsi="Arial"/>
          <w:b/>
          <w:bCs/>
          <w:color w:val="1F4E79"/>
          <w:sz w:val="24"/>
          <w:szCs w:val="24"/>
        </w:rPr>
        <w:t xml:space="preserve">MTN Software Solutions (S2) – TMF Standard APIs</w:t>
      </w:r>
    </w:p>
    <w:p>
      <w:pPr>
        <w:spacing w:after="60" w:before="60"/>
      </w:pPr>
      <w:r>
        <w:rPr>
          <w:rFonts w:ascii="Arial" w:cs="Arial" w:eastAsia="Arial" w:hAnsi="Arial"/>
          <w:color w:val="2E2E2E"/>
          <w:sz w:val="20"/>
          <w:szCs w:val="20"/>
        </w:rPr>
        <w:t xml:space="preserve">Contributed to backend implementation of TM Forum (TMF) Open API-compliant services within MTN's Software Solutions division, aligning internal telecom systems with internationally recognised open standards.</w:t>
      </w:r>
    </w:p>
    <w:p>
      <w:pPr>
        <w:spacing w:after="0" w:before="60"/>
      </w:pPr>
      <w:r>
        <w:t xml:space="preserve"/>
      </w:r>
    </w:p>
    <w:p>
      <w:pPr>
        <w:pStyle w:val="ListParagraph"/>
        <w:numPr>
          <w:ilvl w:val="0"/>
          <w:numId w:val="2"/>
        </w:numPr>
        <w:spacing w:after="40" w:before="40"/>
      </w:pPr>
      <w:r>
        <w:rPr>
          <w:rFonts w:ascii="Arial" w:cs="Arial" w:eastAsia="Arial" w:hAnsi="Arial"/>
          <w:color w:val="2E2E2E"/>
          <w:sz w:val="20"/>
          <w:szCs w:val="20"/>
        </w:rPr>
        <w:t xml:space="preserve">Implemented multiple TMF Open API standards including TMF635 (Usage Management), TMF632 (Party Management), TMF621 (Trouble Ticket), and additional TMF APIs across service domains.</w:t>
      </w:r>
    </w:p>
    <w:p>
      <w:pPr>
        <w:pStyle w:val="ListParagraph"/>
        <w:numPr>
          <w:ilvl w:val="0"/>
          <w:numId w:val="2"/>
        </w:numPr>
        <w:spacing w:after="40" w:before="40"/>
      </w:pPr>
      <w:r>
        <w:rPr>
          <w:rFonts w:ascii="Arial" w:cs="Arial" w:eastAsia="Arial" w:hAnsi="Arial"/>
          <w:color w:val="2E2E2E"/>
          <w:sz w:val="20"/>
          <w:szCs w:val="20"/>
        </w:rPr>
        <w:t xml:space="preserve">Ensured API contracts, request/response schemas, and lifecycle operations conformed to TMF specification requirements — enabling interoperability with external partner systems.</w:t>
      </w:r>
    </w:p>
    <w:p>
      <w:pPr>
        <w:pStyle w:val="ListParagraph"/>
        <w:numPr>
          <w:ilvl w:val="0"/>
          <w:numId w:val="2"/>
        </w:numPr>
        <w:spacing w:after="40" w:before="40"/>
      </w:pPr>
      <w:r>
        <w:rPr>
          <w:rFonts w:ascii="Arial" w:cs="Arial" w:eastAsia="Arial" w:hAnsi="Arial"/>
          <w:color w:val="2E2E2E"/>
          <w:sz w:val="20"/>
          <w:szCs w:val="20"/>
        </w:rPr>
        <w:t xml:space="preserve">Built Spring Boot service layers mapping internal MTN domain models to TMF-compliant resource representations.</w:t>
      </w:r>
    </w:p>
    <w:p>
      <w:pPr>
        <w:pStyle w:val="ListParagraph"/>
        <w:numPr>
          <w:ilvl w:val="0"/>
          <w:numId w:val="2"/>
        </w:numPr>
        <w:spacing w:after="40" w:before="40"/>
      </w:pPr>
      <w:r>
        <w:rPr>
          <w:rFonts w:ascii="Arial" w:cs="Arial" w:eastAsia="Arial" w:hAnsi="Arial"/>
          <w:color w:val="2E2E2E"/>
          <w:sz w:val="20"/>
          <w:szCs w:val="20"/>
        </w:rPr>
        <w:t xml:space="preserve">Worked on API versioning, error standardisation, and response envelope structures per TMF guidelines.</w:t>
      </w:r>
    </w:p>
    <w:p>
      <w:pPr>
        <w:pStyle w:val="ListParagraph"/>
        <w:numPr>
          <w:ilvl w:val="0"/>
          <w:numId w:val="2"/>
        </w:numPr>
        <w:spacing w:after="40" w:before="40"/>
      </w:pPr>
      <w:r>
        <w:rPr>
          <w:rFonts w:ascii="Arial" w:cs="Arial" w:eastAsia="Arial" w:hAnsi="Arial"/>
          <w:color w:val="2E2E2E"/>
          <w:sz w:val="20"/>
          <w:szCs w:val="20"/>
        </w:rPr>
        <w:t xml:space="preserve">Collaborated with telecom domain teams to translate internal business processes into TMF-aligned API operations.</w:t>
      </w:r>
    </w:p>
    <w:p>
      <w:pPr>
        <w:spacing w:after="0" w:before="100"/>
      </w:pPr>
      <w:r>
        <w:t xml:space="preserve"/>
      </w:r>
    </w:p>
    <w:p>
      <w:pPr>
        <w:pStyle w:val="Heading1"/>
        <w:pBdr>
          <w:bottom w:val="single" w:color="2E75B6" w:sz="6" w:space="1"/>
        </w:pBdr>
        <w:spacing w:after="160" w:before="320"/>
      </w:pPr>
      <w:r>
        <w:rPr>
          <w:rFonts w:ascii="Arial" w:cs="Arial" w:eastAsia="Arial" w:hAnsi="Arial"/>
          <w:b/>
          <w:bCs/>
          <w:color w:val="1F4E79"/>
          <w:sz w:val="28"/>
          <w:szCs w:val="28"/>
        </w:rPr>
        <w:t xml:space="preserve">Kenya Revenue Authority (KRA) – Dynamic Validation Engine</w:t>
      </w:r>
    </w:p>
    <w:p>
      <w:pPr>
        <w:spacing w:after="60" w:before="60"/>
      </w:pPr>
      <w:r>
        <w:rPr>
          <w:rFonts w:ascii="Arial" w:cs="Arial" w:eastAsia="Arial" w:hAnsi="Arial"/>
          <w:i/>
          <w:iCs/>
          <w:color w:val="595959"/>
          <w:sz w:val="20"/>
          <w:szCs w:val="20"/>
        </w:rPr>
        <w:t xml:space="preserve">Client: Kenya Revenue Authority  |  Delivery: Abacus Cambridge Partners</w:t>
      </w:r>
    </w:p>
    <w:p>
      <w:pPr>
        <w:spacing w:after="60" w:before="60"/>
      </w:pPr>
      <w:r>
        <w:rPr>
          <w:rFonts w:ascii="Arial" w:cs="Arial" w:eastAsia="Arial" w:hAnsi="Arial"/>
          <w:i/>
          <w:iCs/>
          <w:color w:val="595959"/>
          <w:sz w:val="20"/>
          <w:szCs w:val="20"/>
        </w:rPr>
        <w:t xml:space="preserve">Stack: Java · Apache JEXL · Spring Boot</w:t>
      </w:r>
    </w:p>
    <w:p>
      <w:pPr>
        <w:spacing w:after="0" w:before="80"/>
      </w:pPr>
      <w:r>
        <w:t xml:space="preserve"/>
      </w:r>
    </w:p>
    <w:p>
      <w:pPr>
        <w:spacing w:after="60" w:before="60"/>
      </w:pPr>
      <w:r>
        <w:rPr>
          <w:rFonts w:ascii="Arial" w:cs="Arial" w:eastAsia="Arial" w:hAnsi="Arial"/>
          <w:color w:val="2E2E2E"/>
          <w:sz w:val="20"/>
          <w:szCs w:val="20"/>
        </w:rPr>
        <w:t xml:space="preserve">Architected and implemented a rule-driven dynamic validation engine using Apache JEXL (Java Expression Language), enabling configurable, runtime-evaluated business rules for a regulatory tax system. The engine eliminated the need for code deployments when validation rules changed, significantly reducing release cycles and improving system adaptability.</w:t>
      </w:r>
    </w:p>
    <w:p>
      <w:pPr>
        <w:spacing w:after="0" w:before="60"/>
      </w:pPr>
      <w:r>
        <w:t xml:space="preserve"/>
      </w:r>
    </w:p>
    <w:p>
      <w:pPr>
        <w:spacing w:after="60" w:before="160"/>
      </w:pPr>
      <w:r>
        <w:rPr>
          <w:rFonts w:ascii="Arial" w:cs="Arial" w:eastAsia="Arial" w:hAnsi="Arial"/>
          <w:b/>
          <w:bCs/>
          <w:i/>
          <w:iCs/>
          <w:color w:val="595959"/>
          <w:sz w:val="22"/>
          <w:szCs w:val="22"/>
        </w:rPr>
        <w:t xml:space="preserve">Rule Engine Architecture</w:t>
      </w:r>
    </w:p>
    <w:p>
      <w:pPr>
        <w:pStyle w:val="ListParagraph"/>
        <w:numPr>
          <w:ilvl w:val="0"/>
          <w:numId w:val="2"/>
        </w:numPr>
        <w:spacing w:after="40" w:before="40"/>
      </w:pPr>
      <w:r>
        <w:rPr>
          <w:rFonts w:ascii="Arial" w:cs="Arial" w:eastAsia="Arial" w:hAnsi="Arial"/>
          <w:color w:val="2E2E2E"/>
          <w:sz w:val="20"/>
          <w:szCs w:val="20"/>
        </w:rPr>
        <w:t xml:space="preserve">Designed a framework to parse and execute expression-based validation rules against incoming request payloads at runtime — with no code changes required for rule updates.</w:t>
      </w:r>
    </w:p>
    <w:p>
      <w:pPr>
        <w:pStyle w:val="ListParagraph"/>
        <w:numPr>
          <w:ilvl w:val="0"/>
          <w:numId w:val="2"/>
        </w:numPr>
        <w:spacing w:after="40" w:before="40"/>
      </w:pPr>
      <w:r>
        <w:rPr>
          <w:rFonts w:ascii="Arial" w:cs="Arial" w:eastAsia="Arial" w:hAnsi="Arial"/>
          <w:color w:val="2E2E2E"/>
          <w:sz w:val="20"/>
          <w:szCs w:val="20"/>
        </w:rPr>
        <w:t xml:space="preserve">Supported complex conditional validations and deeply nested logic within JEXL expressions, covering the full range of KRA's regulatory validation requirements.</w:t>
      </w:r>
    </w:p>
    <w:p>
      <w:pPr>
        <w:pStyle w:val="ListParagraph"/>
        <w:numPr>
          <w:ilvl w:val="0"/>
          <w:numId w:val="2"/>
        </w:numPr>
        <w:spacing w:after="40" w:before="40"/>
      </w:pPr>
      <w:r>
        <w:rPr>
          <w:rFonts w:ascii="Arial" w:cs="Arial" w:eastAsia="Arial" w:hAnsi="Arial"/>
          <w:color w:val="2E2E2E"/>
          <w:sz w:val="20"/>
          <w:szCs w:val="20"/>
        </w:rPr>
        <w:t xml:space="preserve">Enabled externalisation of rules via configuration files or database-driven inputs — allowing business stakeholders to manage validation logic independently of the engineering team.</w:t>
      </w:r>
    </w:p>
    <w:p>
      <w:pPr>
        <w:spacing w:after="0" w:before="60"/>
      </w:pPr>
      <w:r>
        <w:t xml:space="preserve"/>
      </w:r>
    </w:p>
    <w:p>
      <w:pPr>
        <w:spacing w:after="60" w:before="160"/>
      </w:pPr>
      <w:r>
        <w:rPr>
          <w:rFonts w:ascii="Arial" w:cs="Arial" w:eastAsia="Arial" w:hAnsi="Arial"/>
          <w:b/>
          <w:bCs/>
          <w:i/>
          <w:iCs/>
          <w:color w:val="595959"/>
          <w:sz w:val="22"/>
          <w:szCs w:val="22"/>
        </w:rPr>
        <w:t xml:space="preserve">Performance &amp; Reliability</w:t>
      </w:r>
    </w:p>
    <w:p>
      <w:pPr>
        <w:pStyle w:val="ListParagraph"/>
        <w:numPr>
          <w:ilvl w:val="0"/>
          <w:numId w:val="2"/>
        </w:numPr>
        <w:spacing w:after="40" w:before="40"/>
      </w:pPr>
      <w:r>
        <w:rPr>
          <w:rFonts w:ascii="Arial" w:cs="Arial" w:eastAsia="Arial" w:hAnsi="Arial"/>
          <w:color w:val="2E2E2E"/>
          <w:sz w:val="20"/>
          <w:szCs w:val="20"/>
        </w:rPr>
        <w:t xml:space="preserve">Implemented expression compilation and caching — compiled JEXL expressions are cached post-first-evaluation, significantly reducing repeated parsing overhead in high-throughput scenarios.</w:t>
      </w:r>
    </w:p>
    <w:p>
      <w:pPr>
        <w:pStyle w:val="ListParagraph"/>
        <w:numPr>
          <w:ilvl w:val="0"/>
          <w:numId w:val="2"/>
        </w:numPr>
        <w:spacing w:after="40" w:before="40"/>
      </w:pPr>
      <w:r>
        <w:rPr>
          <w:rFonts w:ascii="Arial" w:cs="Arial" w:eastAsia="Arial" w:hAnsi="Arial"/>
          <w:color w:val="2E2E2E"/>
          <w:sz w:val="20"/>
          <w:szCs w:val="20"/>
        </w:rPr>
        <w:t xml:space="preserve">Built context binding layer mapping incoming request payload fields to JEXL evaluation variables, providing a clean and predictable expression authoring interface.</w:t>
      </w:r>
    </w:p>
    <w:p>
      <w:pPr>
        <w:pStyle w:val="ListParagraph"/>
        <w:numPr>
          <w:ilvl w:val="0"/>
          <w:numId w:val="2"/>
        </w:numPr>
        <w:spacing w:after="40" w:before="40"/>
      </w:pPr>
      <w:r>
        <w:rPr>
          <w:rFonts w:ascii="Arial" w:cs="Arial" w:eastAsia="Arial" w:hAnsi="Arial"/>
          <w:color w:val="2E2E2E"/>
          <w:sz w:val="20"/>
          <w:szCs w:val="20"/>
        </w:rPr>
        <w:t xml:space="preserve">Engineered standardised error handling and validation response formatting — consistent error output regardless of which rule triggered the failure.</w:t>
      </w:r>
    </w:p>
    <w:p>
      <w:pPr>
        <w:pStyle w:val="ListParagraph"/>
        <w:numPr>
          <w:ilvl w:val="0"/>
          <w:numId w:val="2"/>
        </w:numPr>
        <w:spacing w:after="40" w:before="40"/>
      </w:pPr>
      <w:r>
        <w:rPr>
          <w:rFonts w:ascii="Arial" w:cs="Arial" w:eastAsia="Arial" w:hAnsi="Arial"/>
          <w:color w:val="2E2E2E"/>
          <w:sz w:val="20"/>
          <w:szCs w:val="20"/>
        </w:rPr>
        <w:t xml:space="preserve">Designed the engine to handle high-throughput validation workloads while maintaining performance and reliability under load.</w:t>
      </w:r>
    </w:p>
    <w:p>
      <w:pPr>
        <w:spacing w:after="0" w:before="60"/>
      </w:pPr>
      <w:r>
        <w:t xml:space="preserve"/>
      </w:r>
    </w:p>
    <w:p>
      <w:pPr>
        <w:spacing w:after="60" w:before="160"/>
      </w:pPr>
      <w:r>
        <w:rPr>
          <w:rFonts w:ascii="Arial" w:cs="Arial" w:eastAsia="Arial" w:hAnsi="Arial"/>
          <w:b/>
          <w:bCs/>
          <w:i/>
          <w:iCs/>
          <w:color w:val="595959"/>
          <w:sz w:val="22"/>
          <w:szCs w:val="22"/>
        </w:rPr>
        <w:t xml:space="preserve">Stakeholder Collaboration</w:t>
      </w:r>
    </w:p>
    <w:p>
      <w:pPr>
        <w:pStyle w:val="ListParagraph"/>
        <w:numPr>
          <w:ilvl w:val="0"/>
          <w:numId w:val="2"/>
        </w:numPr>
        <w:spacing w:after="40" w:before="40"/>
      </w:pPr>
      <w:r>
        <w:rPr>
          <w:rFonts w:ascii="Arial" w:cs="Arial" w:eastAsia="Arial" w:hAnsi="Arial"/>
          <w:color w:val="2E2E2E"/>
          <w:sz w:val="20"/>
          <w:szCs w:val="20"/>
        </w:rPr>
        <w:t xml:space="preserve">Worked directly with KRA stakeholders to translate complex regulatory and business validation requirements into executable JEXL expressions.</w:t>
      </w:r>
    </w:p>
    <w:p>
      <w:pPr>
        <w:pStyle w:val="ListParagraph"/>
        <w:numPr>
          <w:ilvl w:val="0"/>
          <w:numId w:val="2"/>
        </w:numPr>
        <w:spacing w:after="40" w:before="40"/>
      </w:pPr>
      <w:r>
        <w:rPr>
          <w:rFonts w:ascii="Arial" w:cs="Arial" w:eastAsia="Arial" w:hAnsi="Arial"/>
          <w:color w:val="2E2E2E"/>
          <w:sz w:val="20"/>
          <w:szCs w:val="20"/>
        </w:rPr>
        <w:t xml:space="preserve">Produced documentation and expression authoring guidelines enabling non-engineering stakeholders to define and update rules independently.</w:t>
      </w:r>
    </w:p>
    <w:p>
      <w:pPr>
        <w:spacing w:after="0" w:before="100"/>
      </w:pPr>
      <w:r>
        <w:t xml:space="preserve"/>
      </w:r>
    </w:p>
    <w:p>
      <w:pPr>
        <w:pStyle w:val="Heading1"/>
        <w:pBdr>
          <w:bottom w:val="single" w:color="2E75B6" w:sz="6" w:space="1"/>
        </w:pBdr>
        <w:spacing w:after="160" w:before="320"/>
      </w:pPr>
      <w:r>
        <w:rPr>
          <w:rFonts w:ascii="Arial" w:cs="Arial" w:eastAsia="Arial" w:hAnsi="Arial"/>
          <w:b/>
          <w:bCs/>
          <w:color w:val="1F4E79"/>
          <w:sz w:val="28"/>
          <w:szCs w:val="28"/>
        </w:rPr>
        <w:t xml:space="preserve">CodePaid – US Client Engagement</w:t>
      </w:r>
    </w:p>
    <w:p>
      <w:pPr>
        <w:spacing w:after="60" w:before="60"/>
      </w:pPr>
      <w:r>
        <w:rPr>
          <w:rFonts w:ascii="Arial" w:cs="Arial" w:eastAsia="Arial" w:hAnsi="Arial"/>
          <w:i/>
          <w:iCs/>
          <w:color w:val="595959"/>
          <w:sz w:val="20"/>
          <w:szCs w:val="20"/>
        </w:rPr>
        <w:t xml:space="preserve">Client: CodePaid (US-based)  |  Delivery: Abacus Cambridge Partners</w:t>
      </w:r>
    </w:p>
    <w:p>
      <w:pPr>
        <w:spacing w:after="60" w:before="60"/>
      </w:pPr>
      <w:r>
        <w:rPr>
          <w:rFonts w:ascii="Arial" w:cs="Arial" w:eastAsia="Arial" w:hAnsi="Arial"/>
          <w:i/>
          <w:iCs/>
          <w:color w:val="595959"/>
          <w:sz w:val="20"/>
          <w:szCs w:val="20"/>
        </w:rPr>
        <w:t xml:space="preserve">Stack: Java · Spring Boot · REST APIs</w:t>
      </w:r>
    </w:p>
    <w:p>
      <w:pPr>
        <w:spacing w:after="0" w:before="80"/>
      </w:pPr>
      <w:r>
        <w:t xml:space="preserve"/>
      </w:r>
    </w:p>
    <w:p>
      <w:pPr>
        <w:pStyle w:val="ListParagraph"/>
        <w:numPr>
          <w:ilvl w:val="0"/>
          <w:numId w:val="2"/>
        </w:numPr>
        <w:spacing w:after="40" w:before="40"/>
      </w:pPr>
      <w:r>
        <w:rPr>
          <w:rFonts w:ascii="Arial" w:cs="Arial" w:eastAsia="Arial" w:hAnsi="Arial"/>
          <w:color w:val="2E2E2E"/>
          <w:sz w:val="20"/>
          <w:szCs w:val="20"/>
        </w:rPr>
        <w:t xml:space="preserve">Implemented backend business logic for the CodePaid service platform — covering subscription lifecycle management, billing and usage flows, and service activation/deactivation.</w:t>
      </w:r>
    </w:p>
    <w:p>
      <w:pPr>
        <w:pStyle w:val="ListParagraph"/>
        <w:numPr>
          <w:ilvl w:val="0"/>
          <w:numId w:val="2"/>
        </w:numPr>
        <w:spacing w:after="40" w:before="40"/>
      </w:pPr>
      <w:r>
        <w:rPr>
          <w:rFonts w:ascii="Arial" w:cs="Arial" w:eastAsia="Arial" w:hAnsi="Arial"/>
          <w:color w:val="2E2E2E"/>
          <w:sz w:val="20"/>
          <w:szCs w:val="20"/>
        </w:rPr>
        <w:t xml:space="preserve">Ensured compliance with client-defined business rules and integration contracts across internal and external service boundaries.</w:t>
      </w:r>
    </w:p>
    <w:p>
      <w:pPr>
        <w:pStyle w:val="ListParagraph"/>
        <w:numPr>
          <w:ilvl w:val="0"/>
          <w:numId w:val="2"/>
        </w:numPr>
        <w:spacing w:after="40" w:before="40"/>
      </w:pPr>
      <w:r>
        <w:rPr>
          <w:rFonts w:ascii="Arial" w:cs="Arial" w:eastAsia="Arial" w:hAnsi="Arial"/>
          <w:color w:val="2E2E2E"/>
          <w:sz w:val="20"/>
          <w:szCs w:val="20"/>
        </w:rPr>
        <w:t xml:space="preserve">Contributed to production-grade code quality standards including structured logging, error handling, and fallback strategies.</w:t>
      </w:r>
    </w:p>
    <w:p>
      <w:pPr>
        <w:spacing w:after="0" w:before="100"/>
      </w:pPr>
      <w:r>
        <w:t xml:space="preserve"/>
      </w:r>
    </w:p>
    <w:p>
      <w:pPr>
        <w:pStyle w:val="Heading1"/>
        <w:pBdr>
          <w:bottom w:val="single" w:color="2E75B6" w:sz="6" w:space="1"/>
        </w:pBdr>
        <w:spacing w:after="160" w:before="320"/>
      </w:pPr>
      <w:r>
        <w:rPr>
          <w:rFonts w:ascii="Arial" w:cs="Arial" w:eastAsia="Arial" w:hAnsi="Arial"/>
          <w:b/>
          <w:bCs/>
          <w:color w:val="1F4E79"/>
          <w:sz w:val="28"/>
          <w:szCs w:val="28"/>
        </w:rPr>
        <w:t xml:space="preserve">Technologies &amp; Tools</w:t>
      </w:r>
    </w:p>
    <w:p>
      <w:pPr>
        <w:spacing w:after="0" w:before="40"/>
      </w:pPr>
      <w:r>
        <w:t xml:space="preserve"/>
      </w:r>
    </w:p>
    <w:p>
      <w:pPr>
        <w:spacing w:after="60" w:before="160"/>
      </w:pPr>
      <w:r>
        <w:rPr>
          <w:rFonts w:ascii="Arial" w:cs="Arial" w:eastAsia="Arial" w:hAnsi="Arial"/>
          <w:b/>
          <w:bCs/>
          <w:i/>
          <w:iCs/>
          <w:color w:val="595959"/>
          <w:sz w:val="22"/>
          <w:szCs w:val="22"/>
        </w:rPr>
        <w:t xml:space="preserve">Languages &amp;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Java 17</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Spring Boot</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Spring Framework</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Spring Data JPA</w:t>
            </w:r>
          </w:p>
        </w:tc>
      </w:tr>
      <w:tr>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Hibernate</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REST APIs</w:t>
            </w:r>
          </w:p>
        </w:tc>
        <w:tc>
          <w:tcPr>
            <w:tcW w:type="dxa" w:w="234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jc w:val="center"/>
            </w:pPr>
            <w:r>
              <w:rPr>
                <w:rFonts w:ascii="Arial" w:cs="Arial" w:eastAsia="Arial" w:hAnsi="Arial"/>
                <w:b w:val="false"/>
                <w:bCs w:val="false"/>
                <w:color w:val="1F4E79"/>
                <w:sz w:val="18"/>
                <w:szCs w:val="18"/>
              </w:rPr>
              <w:t xml:space="preserve"/>
            </w:r>
          </w:p>
        </w:tc>
        <w:tc>
          <w:tcPr>
            <w:tcW w:type="dxa" w:w="234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jc w:val="center"/>
            </w:pPr>
            <w:r>
              <w:rPr>
                <w:rFonts w:ascii="Arial" w:cs="Arial" w:eastAsia="Arial" w:hAnsi="Arial"/>
                <w:b w:val="false"/>
                <w:bCs w:val="false"/>
                <w:color w:val="1F4E79"/>
                <w:sz w:val="18"/>
                <w:szCs w:val="18"/>
              </w:rPr>
              <w:t xml:space="preserve"/>
            </w:r>
          </w:p>
        </w:tc>
      </w:tr>
    </w:tbl>
    <w:p>
      <w:pPr>
        <w:spacing w:after="0" w:before="80"/>
      </w:pPr>
      <w:r>
        <w:t xml:space="preserve"/>
      </w:r>
    </w:p>
    <w:p>
      <w:pPr>
        <w:spacing w:after="60" w:before="160"/>
      </w:pPr>
      <w:r>
        <w:rPr>
          <w:rFonts w:ascii="Arial" w:cs="Arial" w:eastAsia="Arial" w:hAnsi="Arial"/>
          <w:b/>
          <w:bCs/>
          <w:i/>
          <w:iCs/>
          <w:color w:val="595959"/>
          <w:sz w:val="22"/>
          <w:szCs w:val="22"/>
        </w:rPr>
        <w:t xml:space="preserve">Cloud &amp; Platform (GCP)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Cloud Run</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Google Cloud Storage</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Cloud KMS (CMEK)</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GCP Identity Platform</w:t>
            </w:r>
          </w:p>
        </w:tc>
      </w:tr>
      <w:tr>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Application Default Credentials</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IAM &amp; Service Accounts</w:t>
            </w:r>
          </w:p>
        </w:tc>
        <w:tc>
          <w:tcPr>
            <w:tcW w:type="dxa" w:w="234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jc w:val="center"/>
            </w:pPr>
            <w:r>
              <w:rPr>
                <w:rFonts w:ascii="Arial" w:cs="Arial" w:eastAsia="Arial" w:hAnsi="Arial"/>
                <w:b w:val="false"/>
                <w:bCs w:val="false"/>
                <w:color w:val="1F4E79"/>
                <w:sz w:val="18"/>
                <w:szCs w:val="18"/>
              </w:rPr>
              <w:t xml:space="preserve"/>
            </w:r>
          </w:p>
        </w:tc>
        <w:tc>
          <w:tcPr>
            <w:tcW w:type="dxa" w:w="234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jc w:val="center"/>
            </w:pPr>
            <w:r>
              <w:rPr>
                <w:rFonts w:ascii="Arial" w:cs="Arial" w:eastAsia="Arial" w:hAnsi="Arial"/>
                <w:b w:val="false"/>
                <w:bCs w:val="false"/>
                <w:color w:val="1F4E79"/>
                <w:sz w:val="18"/>
                <w:szCs w:val="18"/>
              </w:rPr>
              <w:t xml:space="preserve"/>
            </w:r>
          </w:p>
        </w:tc>
      </w:tr>
    </w:tbl>
    <w:p>
      <w:pPr>
        <w:spacing w:after="0" w:before="80"/>
      </w:pPr>
      <w:r>
        <w:t xml:space="preserve"/>
      </w:r>
    </w:p>
    <w:p>
      <w:pPr>
        <w:spacing w:after="60" w:before="160"/>
      </w:pPr>
      <w:r>
        <w:rPr>
          <w:rFonts w:ascii="Arial" w:cs="Arial" w:eastAsia="Arial" w:hAnsi="Arial"/>
          <w:b/>
          <w:bCs/>
          <w:i/>
          <w:iCs/>
          <w:color w:val="595959"/>
          <w:sz w:val="22"/>
          <w:szCs w:val="22"/>
        </w:rPr>
        <w:t xml:space="preserve">Data &amp;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PostgreSQL</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JPA / Hibernate</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SQL (DDL, DML, seed scripts)</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Schema design</w:t>
            </w:r>
          </w:p>
        </w:tc>
      </w:tr>
    </w:tbl>
    <w:p>
      <w:pPr>
        <w:spacing w:after="0" w:before="80"/>
      </w:pPr>
      <w:r>
        <w:t xml:space="preserve"/>
      </w:r>
    </w:p>
    <w:p>
      <w:pPr>
        <w:spacing w:after="60" w:before="160"/>
      </w:pPr>
      <w:r>
        <w:rPr>
          <w:rFonts w:ascii="Arial" w:cs="Arial" w:eastAsia="Arial" w:hAnsi="Arial"/>
          <w:b/>
          <w:bCs/>
          <w:i/>
          <w:iCs/>
          <w:color w:val="595959"/>
          <w:sz w:val="22"/>
          <w:szCs w:val="22"/>
        </w:rPr>
        <w:t xml:space="preserve">Rule Engines &amp; Expression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Apache JEXL</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Expression compilation &amp; caching</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Runtime rule evaluation</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DB-driven rule externalisation</w:t>
            </w:r>
          </w:p>
        </w:tc>
      </w:tr>
    </w:tbl>
    <w:p>
      <w:pPr>
        <w:spacing w:after="0" w:before="80"/>
      </w:pPr>
      <w:r>
        <w:t xml:space="preserve"/>
      </w:r>
    </w:p>
    <w:p>
      <w:pPr>
        <w:spacing w:after="60" w:before="160"/>
      </w:pPr>
      <w:r>
        <w:rPr>
          <w:rFonts w:ascii="Arial" w:cs="Arial" w:eastAsia="Arial" w:hAnsi="Arial"/>
          <w:b/>
          <w:bCs/>
          <w:i/>
          <w:iCs/>
          <w:color w:val="595959"/>
          <w:sz w:val="22"/>
          <w:szCs w:val="22"/>
        </w:rPr>
        <w:t xml:space="preserve">Telecom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TMF635 – Usage Management</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TMF632 – Party Management</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TMF621 – Trouble Ticket</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TMF Open APIs</w:t>
            </w:r>
          </w:p>
        </w:tc>
      </w:tr>
    </w:tbl>
    <w:p>
      <w:pPr>
        <w:spacing w:after="0" w:before="80"/>
      </w:pPr>
      <w:r>
        <w:t xml:space="preserve"/>
      </w:r>
    </w:p>
    <w:p>
      <w:pPr>
        <w:spacing w:after="60" w:before="160"/>
      </w:pPr>
      <w:r>
        <w:rPr>
          <w:rFonts w:ascii="Arial" w:cs="Arial" w:eastAsia="Arial" w:hAnsi="Arial"/>
          <w:b/>
          <w:bCs/>
          <w:i/>
          <w:iCs/>
          <w:color w:val="595959"/>
          <w:sz w:val="22"/>
          <w:szCs w:val="22"/>
        </w:rPr>
        <w:t xml:space="preserve">Document &amp; File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iText7 (html2pdf)</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GCS Signed URLs (V4)</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Base64 image embedding</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PDFBox 3.x</w:t>
            </w:r>
          </w:p>
        </w:tc>
      </w:tr>
    </w:tbl>
    <w:p>
      <w:pPr>
        <w:spacing w:after="0" w:before="80"/>
      </w:pPr>
      <w:r>
        <w:t xml:space="preserve"/>
      </w:r>
    </w:p>
    <w:p>
      <w:pPr>
        <w:spacing w:after="60" w:before="160"/>
      </w:pPr>
      <w:r>
        <w:rPr>
          <w:rFonts w:ascii="Arial" w:cs="Arial" w:eastAsia="Arial" w:hAnsi="Arial"/>
          <w:b/>
          <w:bCs/>
          <w:i/>
          <w:iCs/>
          <w:color w:val="595959"/>
          <w:sz w:val="22"/>
          <w:szCs w:val="22"/>
        </w:rPr>
        <w:t xml:space="preserve">DevOps &amp;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Docker</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GCP Cloud Run</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Git</w:t>
            </w:r>
          </w:p>
        </w:tc>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CI/CD pipelines</w:t>
            </w:r>
          </w:p>
        </w:tc>
      </w:tr>
      <w:tr>
        <w:tc>
          <w:tcPr>
            <w:tcW w:type="dxa" w:w="2340"/>
            <w:tcBorders>
              <w:top w:val="none" w:color="FFFFFF" w:sz="0"/>
              <w:left w:val="none" w:color="FFFFFF" w:sz="0"/>
              <w:bottom w:val="none" w:color="FFFFFF" w:sz="0"/>
              <w:right w:val="none" w:color="FFFFFF" w:sz="0"/>
            </w:tcBorders>
            <w:shd w:fill="D6E4F0" w:val="clear"/>
            <w:tcMar>
              <w:top w:type="dxa" w:w="60"/>
              <w:left w:type="dxa" w:w="100"/>
              <w:bottom w:type="dxa" w:w="60"/>
              <w:right w:type="dxa" w:w="100"/>
            </w:tcMar>
          </w:tcPr>
          <w:p>
            <w:pPr>
              <w:jc w:val="center"/>
            </w:pPr>
            <w:r>
              <w:rPr>
                <w:rFonts w:ascii="Arial" w:cs="Arial" w:eastAsia="Arial" w:hAnsi="Arial"/>
                <w:b/>
                <w:bCs/>
                <w:color w:val="1F4E79"/>
                <w:sz w:val="18"/>
                <w:szCs w:val="18"/>
              </w:rPr>
              <w:t xml:space="preserve">gcloud CLI</w:t>
            </w:r>
          </w:p>
        </w:tc>
        <w:tc>
          <w:tcPr>
            <w:tcW w:type="dxa" w:w="234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jc w:val="center"/>
            </w:pPr>
            <w:r>
              <w:rPr>
                <w:rFonts w:ascii="Arial" w:cs="Arial" w:eastAsia="Arial" w:hAnsi="Arial"/>
                <w:b w:val="false"/>
                <w:bCs w:val="false"/>
                <w:color w:val="1F4E79"/>
                <w:sz w:val="18"/>
                <w:szCs w:val="18"/>
              </w:rPr>
              <w:t xml:space="preserve"/>
            </w:r>
          </w:p>
        </w:tc>
        <w:tc>
          <w:tcPr>
            <w:tcW w:type="dxa" w:w="234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jc w:val="center"/>
            </w:pPr>
            <w:r>
              <w:rPr>
                <w:rFonts w:ascii="Arial" w:cs="Arial" w:eastAsia="Arial" w:hAnsi="Arial"/>
                <w:b w:val="false"/>
                <w:bCs w:val="false"/>
                <w:color w:val="1F4E79"/>
                <w:sz w:val="18"/>
                <w:szCs w:val="18"/>
              </w:rPr>
              <w:t xml:space="preserve"/>
            </w:r>
          </w:p>
        </w:tc>
        <w:tc>
          <w:tcPr>
            <w:tcW w:type="dxa" w:w="234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pPr>
              <w:jc w:val="center"/>
            </w:pPr>
            <w:r>
              <w:rPr>
                <w:rFonts w:ascii="Arial" w:cs="Arial" w:eastAsia="Arial" w:hAnsi="Arial"/>
                <w:b w:val="false"/>
                <w:bCs w:val="false"/>
                <w:color w:val="1F4E79"/>
                <w:sz w:val="18"/>
                <w:szCs w:val="18"/>
              </w:rPr>
              <w:t xml:space="preserve"/>
            </w:r>
          </w:p>
        </w:tc>
      </w:tr>
    </w:tbl>
    <w:p>
      <w:pPr>
        <w:spacing w:after="0" w:before="100"/>
      </w:pPr>
      <w:r>
        <w:t xml:space="preserve"/>
      </w:r>
    </w:p>
    <w:p>
      <w:pPr>
        <w:pStyle w:val="Heading1"/>
        <w:pBdr>
          <w:bottom w:val="single" w:color="2E75B6" w:sz="6" w:space="1"/>
        </w:pBdr>
        <w:spacing w:after="160" w:before="320"/>
      </w:pPr>
      <w:r>
        <w:rPr>
          <w:rFonts w:ascii="Arial" w:cs="Arial" w:eastAsia="Arial" w:hAnsi="Arial"/>
          <w:b/>
          <w:bCs/>
          <w:color w:val="1F4E79"/>
          <w:sz w:val="28"/>
          <w:szCs w:val="28"/>
        </w:rPr>
        <w:t xml:space="preserve">Key Strengths</w:t>
      </w:r>
    </w:p>
    <w:p>
      <w:pPr>
        <w:pStyle w:val="ListParagraph"/>
        <w:numPr>
          <w:ilvl w:val="0"/>
          <w:numId w:val="2"/>
        </w:numPr>
        <w:spacing w:after="40" w:before="40"/>
      </w:pPr>
      <w:r>
        <w:rPr>
          <w:rFonts w:ascii="Arial" w:cs="Arial" w:eastAsia="Arial" w:hAnsi="Arial"/>
          <w:color w:val="2E2E2E"/>
          <w:sz w:val="20"/>
          <w:szCs w:val="20"/>
        </w:rPr>
        <w:t xml:space="preserve">Enterprise workflow design — multi-phase approval engines, recall/resubmit logic, parallel/sequential orchestration</w:t>
      </w:r>
    </w:p>
    <w:p>
      <w:pPr>
        <w:pStyle w:val="ListParagraph"/>
        <w:numPr>
          <w:ilvl w:val="0"/>
          <w:numId w:val="2"/>
        </w:numPr>
        <w:spacing w:after="40" w:before="40"/>
      </w:pPr>
      <w:r>
        <w:rPr>
          <w:rFonts w:ascii="Arial" w:cs="Arial" w:eastAsia="Arial" w:hAnsi="Arial"/>
          <w:color w:val="2E2E2E"/>
          <w:sz w:val="20"/>
          <w:szCs w:val="20"/>
        </w:rPr>
        <w:t xml:space="preserve">Dynamic rule engines — Apache JEXL-based validation frameworks with runtime configurability and expression caching</w:t>
      </w:r>
    </w:p>
    <w:p>
      <w:pPr>
        <w:pStyle w:val="ListParagraph"/>
        <w:numPr>
          <w:ilvl w:val="0"/>
          <w:numId w:val="2"/>
        </w:numPr>
        <w:spacing w:after="40" w:before="40"/>
      </w:pPr>
      <w:r>
        <w:rPr>
          <w:rFonts w:ascii="Arial" w:cs="Arial" w:eastAsia="Arial" w:hAnsi="Arial"/>
          <w:color w:val="2E2E2E"/>
          <w:sz w:val="20"/>
          <w:szCs w:val="20"/>
        </w:rPr>
        <w:t xml:space="preserve">TMF Open API implementation — telecom-grade API standards (TMF635, TMF632, TMF621) across MTN S2 services</w:t>
      </w:r>
    </w:p>
    <w:p>
      <w:pPr>
        <w:pStyle w:val="ListParagraph"/>
        <w:numPr>
          <w:ilvl w:val="0"/>
          <w:numId w:val="2"/>
        </w:numPr>
        <w:spacing w:after="40" w:before="40"/>
      </w:pPr>
      <w:r>
        <w:rPr>
          <w:rFonts w:ascii="Arial" w:cs="Arial" w:eastAsia="Arial" w:hAnsi="Arial"/>
          <w:color w:val="2E2E2E"/>
          <w:sz w:val="20"/>
          <w:szCs w:val="20"/>
        </w:rPr>
        <w:t xml:space="preserve">Cloud-native GCP integration — GCS, KMS, Identity Platform, Cloud Run, signed URLs, CMEK</w:t>
      </w:r>
    </w:p>
    <w:p>
      <w:pPr>
        <w:pStyle w:val="ListParagraph"/>
        <w:numPr>
          <w:ilvl w:val="0"/>
          <w:numId w:val="2"/>
        </w:numPr>
        <w:spacing w:after="40" w:before="40"/>
      </w:pPr>
      <w:r>
        <w:rPr>
          <w:rFonts w:ascii="Arial" w:cs="Arial" w:eastAsia="Arial" w:hAnsi="Arial"/>
          <w:color w:val="2E2E2E"/>
          <w:sz w:val="20"/>
          <w:szCs w:val="20"/>
        </w:rPr>
        <w:t xml:space="preserve">Secure document generation — iText7 PDF pipelines following real government formatting conventions</w:t>
      </w:r>
    </w:p>
    <w:p>
      <w:pPr>
        <w:pStyle w:val="ListParagraph"/>
        <w:numPr>
          <w:ilvl w:val="0"/>
          <w:numId w:val="2"/>
        </w:numPr>
        <w:spacing w:after="40" w:before="40"/>
      </w:pPr>
      <w:r>
        <w:rPr>
          <w:rFonts w:ascii="Arial" w:cs="Arial" w:eastAsia="Arial" w:hAnsi="Arial"/>
          <w:color w:val="2E2E2E"/>
          <w:sz w:val="20"/>
          <w:szCs w:val="20"/>
        </w:rPr>
        <w:t xml:space="preserve">Database-driven architecture — preference for DB-backed state over enums, enabling flexibility and auditability</w:t>
      </w:r>
    </w:p>
    <w:p>
      <w:pPr>
        <w:pStyle w:val="ListParagraph"/>
        <w:numPr>
          <w:ilvl w:val="0"/>
          <w:numId w:val="2"/>
        </w:numPr>
        <w:spacing w:after="40" w:before="40"/>
      </w:pPr>
      <w:r>
        <w:rPr>
          <w:rFonts w:ascii="Arial" w:cs="Arial" w:eastAsia="Arial" w:hAnsi="Arial"/>
          <w:color w:val="2E2E2E"/>
          <w:sz w:val="20"/>
          <w:szCs w:val="20"/>
        </w:rPr>
        <w:t xml:space="preserve">Government &amp; regulated domain delivery — compliance, data sovereignty, and stakeholder documentation across GOB and KRA</w:t>
      </w:r>
    </w:p>
    <w:p>
      <w:pPr>
        <w:pStyle w:val="ListParagraph"/>
        <w:numPr>
          <w:ilvl w:val="0"/>
          <w:numId w:val="2"/>
        </w:numPr>
        <w:spacing w:after="40" w:before="40"/>
      </w:pPr>
      <w:r>
        <w:rPr>
          <w:rFonts w:ascii="Arial" w:cs="Arial" w:eastAsia="Arial" w:hAnsi="Arial"/>
          <w:color w:val="2E2E2E"/>
          <w:sz w:val="20"/>
          <w:szCs w:val="20"/>
        </w:rPr>
        <w:t xml:space="preserve">Cross-domain delivery — government, telecom, tax/regulatory, and US commercial client engagements</w:t>
      </w:r>
    </w:p>
    <w:p>
      <w:pPr>
        <w:spacing w:after="0" w:before="100"/>
      </w:pPr>
      <w:r>
        <w:t xml:space="preserve"/>
      </w:r>
    </w:p>
    <w:p>
      <w:pPr>
        <w:pStyle w:val="Heading1"/>
        <w:pBdr>
          <w:bottom w:val="single" w:color="2E75B6" w:sz="6" w:space="1"/>
        </w:pBdr>
        <w:spacing w:after="160" w:before="320"/>
      </w:pPr>
      <w:r>
        <w:rPr>
          <w:rFonts w:ascii="Arial" w:cs="Arial" w:eastAsia="Arial" w:hAnsi="Arial"/>
          <w:b/>
          <w:bCs/>
          <w:color w:val="1F4E79"/>
          <w:sz w:val="28"/>
          <w:szCs w:val="28"/>
        </w:rPr>
        <w:t xml:space="preserve">CV Summary (Short Version)</w:t>
      </w:r>
    </w:p>
    <w:p>
      <w:pPr>
        <w:pBdr>
          <w:left w:val="single" w:color="2E75B6" w:sz="20" w:space="10"/>
        </w:pBdr>
        <w:shd w:fill="F2F2F2" w:val="clear"/>
        <w:spacing w:after="80" w:before="80"/>
      </w:pPr>
      <w:r>
        <w:rPr>
          <w:rFonts w:ascii="Arial" w:cs="Arial" w:eastAsia="Arial" w:hAnsi="Arial"/>
          <w:i/>
          <w:iCs/>
          <w:color w:val="2E2E2E"/>
          <w:sz w:val="20"/>
          <w:szCs w:val="20"/>
        </w:rPr>
        <w:t xml:space="preserve">Senior Consultant with hands-on delivery across government, telecom, regulatory, and commercial client engagements. Core expertise in Java Spring Boot microservices, GCP (Cloud Run, GCS, KMS, Identity Platform), multi-phase enterprise workflow design, and dynamic rule engine development. At the Government of Bermuda, led backend delivery of Cabinet Memorandum workflow automation, Summer Camp lottery systems, GCS/KMS document handling, iText7 PDF generation, and Microsoft Entra ID SSO integration. At MTN Group, implemented TMF Open API-compliant services (TMF635, TMF632, TMF621) within the S2 division and contributed to the Chenosis telecom API marketplace. At Kenya Revenue Authority, architected a runtime Apache JEXL validation engine enabling configuration-driven business rule management for a regulatory tax system. Additional experience with a US commercial client (CodePaid) covering subscription lifecycle and billing systems.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2026-04-29T07:30:56.140Z</dcterms:created>
  <dcterms:modified xsi:type="dcterms:W3CDTF">2026-04-29T07:30:56.141Z</dcterms:modified>
</cp:coreProperties>
</file>

<file path=docProps/custom.xml><?xml version="1.0" encoding="utf-8"?>
<Properties xmlns="http://schemas.openxmlformats.org/officeDocument/2006/custom-properties" xmlns:vt="http://schemas.openxmlformats.org/officeDocument/2006/docPropsVTypes"/>
</file>