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in Automated Academic Assessment</w:t>
      </w:r>
    </w:p>
    <w:p>
      <w:r>
        <w:t>By John Doe, Student ID: 90214. Submitted for CS401.</w:t>
      </w:r>
    </w:p>
    <w:p>
      <w:pPr>
        <w:pStyle w:val="Heading1"/>
      </w:pPr>
      <w:r>
        <w:t>1. Introduction</w:t>
      </w:r>
    </w:p>
    <w:p>
      <w:r>
        <w:t>In recent years, higher education has seen an unprecedented influx of generative artificial intelligence systems. Students use LLMs to assist in drafting ideas, structuring arguments, and reviewing code. However, unformatted raw exports frequently violate rigorous university style guidelines, resulting in avoidable grading penalties.</w:t>
      </w:r>
    </w:p>
    <w:p>
      <w:r>
        <w:t>This report investigates the efficacy of rule-based OpenXML transformation pipelines that operate deterministically on Word document trees.</w:t>
      </w:r>
    </w:p>
    <w:p>
      <w:pPr>
        <w:pStyle w:val="Heading1"/>
      </w:pPr>
      <w:r>
        <w:t>2. Background &amp; Related Work</w:t>
      </w:r>
    </w:p>
    <w:p>
      <w:r>
        <w:t>Standard academic style guides such as APA 7th Edition, Harvard, and IEEE demand precise typography, 1-inch margins, and explicit section numbering.</w:t>
      </w:r>
    </w:p>
    <w:p>
      <w:pPr>
        <w:pStyle w:val="Heading2"/>
      </w:pPr>
      <w:r>
        <w:t>2.1 Common Formatting Violations</w:t>
      </w:r>
    </w:p>
    <w:p>
      <w:r>
        <w:t>Automated audits reveal that 78% of unformatted submissions suffer from inconsistent heading hierarchies, non-standard line spacing, and missing cover sheets.</w:t>
      </w:r>
    </w:p>
    <w:p>
      <w:pPr>
        <w:pStyle w:val="Heading1"/>
      </w:pPr>
      <w:r>
        <w:t>3. Methodology &amp; System Architecture</w:t>
      </w:r>
    </w:p>
    <w:p>
      <w:r>
        <w:t>We developed a multi-stage deterministic processing engine using python-docx to parse document nodes.</w:t>
      </w:r>
    </w:p>
    <w:tbl>
      <w:tblPr>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Transformation</w:t>
            </w:r>
          </w:p>
        </w:tc>
        <w:tc>
          <w:tcPr>
            <w:tcW w:type="dxa" w:w="2880"/>
          </w:tcPr>
          <w:p>
            <w:r>
              <w:t>Validation</w:t>
            </w:r>
          </w:p>
        </w:tc>
      </w:tr>
      <w:tr>
        <w:tc>
          <w:tcPr>
            <w:tcW w:type="dxa" w:w="2880"/>
          </w:tcPr>
          <w:p>
            <w:r>
              <w:t>1. Inspection</w:t>
            </w:r>
          </w:p>
        </w:tc>
        <w:tc>
          <w:tcPr>
            <w:tcW w:type="dxa" w:w="2880"/>
          </w:tcPr>
          <w:p>
            <w:r>
              <w:t>Extract AST &amp; Headings</w:t>
            </w:r>
          </w:p>
        </w:tc>
        <w:tc>
          <w:tcPr>
            <w:tcW w:type="dxa" w:w="2880"/>
          </w:tcPr>
          <w:p>
            <w:r>
              <w:t>Schema Check</w:t>
            </w:r>
          </w:p>
        </w:tc>
      </w:tr>
      <w:tr>
        <w:tc>
          <w:tcPr>
            <w:tcW w:type="dxa" w:w="2880"/>
          </w:tcPr>
          <w:p>
            <w:r>
              <w:t>2. Formatting</w:t>
            </w:r>
          </w:p>
        </w:tc>
        <w:tc>
          <w:tcPr>
            <w:tcW w:type="dxa" w:w="2880"/>
          </w:tcPr>
          <w:p>
            <w:r>
              <w:t>Apply Styles &amp; TOC</w:t>
            </w:r>
          </w:p>
        </w:tc>
        <w:tc>
          <w:tcPr>
            <w:tcW w:type="dxa" w:w="2880"/>
          </w:tcPr>
          <w:p>
            <w:r>
              <w:t>Compliance Rule</w:t>
            </w:r>
          </w:p>
        </w:tc>
      </w:tr>
    </w:tbl>
    <w:p>
      <w:pPr>
        <w:pStyle w:val="Heading1"/>
      </w:pPr>
      <w:r>
        <w:t>4. Evaluation &amp; Results</w:t>
      </w:r>
    </w:p>
    <w:p>
      <w:r>
        <w:t>Experimental testing across 50 simulated assignments demonstrated 100% preservation of inline figures and tabular structures while reducing formatting preparation time from 45 minutes to 3 seconds.</w:t>
      </w:r>
    </w:p>
    <w:p>
      <w:pPr>
        <w:pStyle w:val="Heading1"/>
      </w:pPr>
      <w:r>
        <w:t>5. Conclusion</w:t>
      </w:r>
    </w:p>
    <w:p>
      <w:r>
        <w:t>AssignmentReady establishes an automated, local-first standard for academic document transformation.</w:t>
      </w:r>
    </w:p>
    <w:p>
      <w:pPr>
        <w:pStyle w:val="Heading1"/>
      </w:pPr>
      <w:r>
        <w:t>6. References</w:t>
      </w:r>
    </w:p>
    <w:p>
      <w:r>
        <w:t>1. Mercer, A. (2024). Deterministic Document Parsing for Education. Cambridge Journal of Computer Science, 18(2), 112-128.</w:t>
      </w:r>
    </w:p>
    <w:p>
      <w:r>
        <w:t>2. Davis, R. &amp; Patel, K. (2025). Evaluating LLM Output Adherence to University Style Guides. Academic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