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Impact of Decentralized Infrastructure on Cloud Resiliency</w:t>
      </w:r>
    </w:p>
    <w:p>
      <w:r>
        <w:t>This is an unformatted assignment draft generated by an AI tool. It lacks standard academic margins, proper heading hierarchy, and consistent line spacing.</w:t>
      </w:r>
    </w:p>
    <w:p>
      <w:pPr/>
      <w:r>
        <w:t>## 1. Introduction</w:t>
      </w:r>
    </w:p>
    <w:p>
      <w:r>
        <w:t>Cloud services rely heavily on distributed topologies. However, centralized points of failure frequently lead to cascading downtime across availability zones. This research analyzes fault-tolerant architectures.</w:t>
      </w:r>
    </w:p>
    <w:p>
      <w:pPr/>
      <w:r>
        <w:t>## 2. Theoretical Foundations</w:t>
      </w:r>
    </w:p>
    <w:p>
      <w:r>
        <w:t>Consensus algorithms guarantee state machine replication across unreliable networks. Paxos and Raft provide formal safety proofs under partial synchrony assumptions.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Failure Tolerance</w:t>
            </w:r>
          </w:p>
        </w:tc>
        <w:tc>
          <w:tcPr>
            <w:tcW w:type="dxa" w:w="2880"/>
          </w:tcPr>
          <w:p>
            <w:r>
              <w:t>Throughput</w:t>
            </w:r>
          </w:p>
        </w:tc>
      </w:tr>
      <w:tr>
        <w:tc>
          <w:tcPr>
            <w:tcW w:type="dxa" w:w="2880"/>
          </w:tcPr>
          <w:p>
            <w:r>
              <w:t>Raft</w:t>
            </w:r>
          </w:p>
        </w:tc>
        <w:tc>
          <w:tcPr>
            <w:tcW w:type="dxa" w:w="2880"/>
          </w:tcPr>
          <w:p>
            <w:r>
              <w:t>f out of 2f+1</w:t>
            </w:r>
          </w:p>
        </w:tc>
        <w:tc>
          <w:tcPr>
            <w:tcW w:type="dxa" w:w="2880"/>
          </w:tcPr>
          <w:p>
            <w:r>
              <w:t>High (Leader-based)</w:t>
            </w:r>
          </w:p>
        </w:tc>
      </w:tr>
      <w:tr>
        <w:tc>
          <w:tcPr>
            <w:tcW w:type="dxa" w:w="2880"/>
          </w:tcPr>
          <w:p>
            <w:r>
              <w:t>PBFT</w:t>
            </w:r>
          </w:p>
        </w:tc>
        <w:tc>
          <w:tcPr>
            <w:tcW w:type="dxa" w:w="2880"/>
          </w:tcPr>
          <w:p>
            <w:r>
              <w:t>f out of 3f+1</w:t>
            </w:r>
          </w:p>
        </w:tc>
        <w:tc>
          <w:tcPr>
            <w:tcW w:type="dxa" w:w="2880"/>
          </w:tcPr>
          <w:p>
            <w:r>
              <w:t>Moderate (O(n^2) messages)</w:t>
            </w:r>
          </w:p>
        </w:tc>
      </w:tr>
    </w:tbl>
    <w:p>
      <w:pPr/>
      <w:r>
        <w:t>## 3. Empirical Evaluation</w:t>
      </w:r>
    </w:p>
    <w:p>
      <w:r>
        <w:t>Our simulation evaluated hundred-node networks under varying latency conditions. The benchmarks show that decentralized clustering mitigates regional network partition risks.</w:t>
      </w:r>
    </w:p>
    <w:p>
      <w:pPr/>
      <w:r>
        <w:t>## 4. Conclusion</w:t>
      </w:r>
    </w:p>
    <w:p>
      <w:r>
        <w:t>In conclusion, hybrid decentralized infrastructure improves overall availability metrics while sustaining predictable latencies.</w:t>
      </w:r>
    </w:p>
    <w:p>
      <w:pPr/>
      <w:r>
        <w:t>## 5. References</w:t>
      </w:r>
    </w:p>
    <w:p>
      <w:r>
        <w:t>1. Lamport, L. (1998). The Part-Time Parliament. ACM Transactions on Computer Systems, 16(2), 133-169.</w:t>
      </w:r>
    </w:p>
    <w:p>
      <w:r>
        <w:t>2. Ongaro, D., &amp; Ousterhout, J. (2014). In search of an understandable consensus algorithm. USENIX ATC, 305-319.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