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口腔荧光图像AI辅助诊断</w:t>
        <w:br/>
        <w:t>模型训练阶段工作报告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7"/>
        </w:rPr>
        <w:t>二分类实验、评价流程与指导书训练框架</w:t>
      </w:r>
    </w:p>
    <w:p/>
    <w:p/>
    <w:p/>
    <w:p/>
    <w:p/>
    <w:p>
      <w:pPr>
        <w:spacing w:line="432" w:lineRule="auto"/>
        <w:jc w:val="center"/>
      </w:pPr>
      <w:r>
        <w:rPr>
          <w:rFonts w:ascii="宋体" w:hAnsi="宋体" w:eastAsia="宋体"/>
          <w:b w:val="0"/>
          <w:color w:val="2D3033"/>
          <w:sz w:val="24"/>
        </w:rPr>
        <w:t>汇报人：严子宁</w:t>
        <w:br/>
        <w:t>2026年10月19日</w:t>
      </w:r>
    </w:p>
    <w:p>
      <w:r>
        <w:br w:type="page"/>
      </w:r>
    </w:p>
    <w:p>
      <w:pPr>
        <w:pStyle w:val="Heading1"/>
        <w:keepNext/>
        <w:spacing w:before="280" w:after="120" w:line="324" w:lineRule="auto"/>
      </w:pPr>
      <w:r>
        <w:rPr>
          <w:rFonts w:ascii="微软雅黑" w:hAnsi="微软雅黑" w:eastAsia="微软雅黑"/>
          <w:b/>
          <w:color w:val="1F4E79"/>
          <w:sz w:val="32"/>
        </w:rPr>
        <w:t>一、本人职责与阶段结论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AFC4D6"/>
          <w:left w:val="single" w:sz="8" w:color="AFC4D6"/>
          <w:bottom w:val="single" w:sz="8" w:color="AFC4D6"/>
          <w:right w:val="single" w:sz="8" w:color="AFC4D6"/>
          <w:insideH w:val="single" w:sz="8" w:color="AFC4D6"/>
          <w:insideV w:val="single" w:sz="8" w:color="AFC4D6"/>
        </w:tblBorders>
      </w:tblPr>
      <w:tblGrid>
        <w:gridCol w:w="9746"/>
      </w:tblGrid>
      <w:tr>
        <w:tc>
          <w:tcPr>
            <w:tcW w:type="dxa" w:w="9746"/>
            <w:shd w:fill="DCE6F1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当前结论</w:t>
            </w:r>
          </w:p>
          <w:p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color w:val="2D3033"/>
                <w:sz w:val="20"/>
              </w:rPr>
              <w:t>本人负责模型训练、评估、最优模型选择、实验记录和过程可视化。当前已经完成二分类训练流程、患者级评价和指导书三阶段训练框架，但尚未得到稳定、可用于论文主结论的模型。旧版590张数据上的探索性患者AUROC最高约0.72，测试集只有13位患者，结果不能外推到新版数据或临床场景。</w:t>
            </w:r>
          </w:p>
        </w:tc>
      </w:tr>
    </w:tbl>
    <w:p>
      <w:pPr>
        <w:spacing w:after="0"/>
      </w:pP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本报告只写模型训练相关工作。数据清洗、标注整理、脱敏和来源组划分由数据组完成，在本报告中只作为训练输入和版本约束出现。</w:t>
      </w:r>
    </w:p>
    <w:p>
      <w:pPr>
        <w:pStyle w:val="Heading1"/>
        <w:keepNext/>
        <w:spacing w:before="280" w:after="120" w:line="324" w:lineRule="auto"/>
      </w:pPr>
      <w:r>
        <w:rPr>
          <w:rFonts w:ascii="微软雅黑" w:hAnsi="微软雅黑" w:eastAsia="微软雅黑"/>
          <w:b/>
          <w:color w:val="1F4E79"/>
          <w:sz w:val="32"/>
        </w:rPr>
        <w:t>二、训练输入与标签口径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当前仓库中用于模型训练的主要是旧版590张荧光图像，包含510份XML标注，按患者整理为83个患者标识。仅使用有有效框的图片时，可用样本为509张，训练、验证、测试分别为339、88、82张，对应57、13、13位患者。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AFC4D6"/>
          <w:left w:val="single" w:sz="8" w:color="AFC4D6"/>
          <w:bottom w:val="single" w:sz="8" w:color="AFC4D6"/>
          <w:right w:val="single" w:sz="8" w:color="AFC4D6"/>
          <w:insideH w:val="single" w:sz="8" w:color="AFC4D6"/>
          <w:insideV w:val="single" w:sz="8" w:color="AFC4D6"/>
        </w:tblBorders>
      </w:tblPr>
      <w:tblGrid>
        <w:gridCol w:w="9746"/>
      </w:tblGrid>
      <w:tr>
        <w:tc>
          <w:tcPr>
            <w:tcW w:type="dxa" w:w="9746"/>
            <w:shd w:fill="DCE6F1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标签定义</w:t>
            </w:r>
          </w:p>
          <w:p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color w:val="2D3033"/>
                <w:sz w:val="20"/>
              </w:rPr>
              <w:t>l = 阳性病例，编码1；n = 阴性病例，编码0。新生成的binary_v2和binary_annotated_v2清单已经按这一编码固定。</w:t>
            </w:r>
          </w:p>
        </w:tc>
      </w:tr>
    </w:tbl>
    <w:p>
      <w:pPr>
        <w:spacing w:after="0"/>
      </w:pP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早期模型实验使用了相反的编码，即n=1、l=0。因此旧实验中的敏感度、精确率、召回率和验证集选定阈值均不能直接作为l阳性指标复用；AUROC在二分类中不受阳性类交换影响，但阈值相关结果必须重新计算。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3249"/>
        <w:gridCol w:w="3249"/>
        <w:gridCol w:w="3249"/>
      </w:tblGrid>
      <w:tr>
        <w:tc>
          <w:tcPr>
            <w:tcW w:type="dxa" w:w="3175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输入项目</w:t>
            </w:r>
          </w:p>
        </w:tc>
        <w:tc>
          <w:tcPr>
            <w:tcW w:type="dxa" w:w="3061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旧版探索数据</w:t>
            </w:r>
          </w:p>
        </w:tc>
        <w:tc>
          <w:tcPr>
            <w:tcW w:type="dxa" w:w="3175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状态</w:t>
            </w:r>
          </w:p>
        </w:tc>
      </w:tr>
      <w:tr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图像总数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590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已用于探索</w:t>
            </w:r>
          </w:p>
        </w:tc>
      </w:tr>
      <w:tr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XML数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510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已配对</w:t>
            </w:r>
          </w:p>
        </w:tc>
      </w:tr>
      <w:tr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患者标识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83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已有患者级切分</w:t>
            </w:r>
          </w:p>
        </w:tc>
      </w:tr>
      <w:tr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有有效框图片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509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当前分类实验使用</w:t>
            </w:r>
          </w:p>
        </w:tc>
      </w:tr>
      <w:tr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训练/验证/测试图片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339/88/82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固定切分</w:t>
            </w:r>
          </w:p>
        </w:tc>
      </w:tr>
      <w:tr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训练/验证/测试患者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57/13/13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无患者重叠</w:t>
            </w:r>
          </w:p>
        </w:tc>
      </w:tr>
      <w:tr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新版v5候选包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1117张、1200框</w:t>
            </w:r>
          </w:p>
        </w:tc>
        <w:tc>
          <w:tcPr>
            <w:tcW w:type="dxa" w:w="317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尚未接入当前训练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 w:line="324" w:lineRule="auto"/>
      </w:pPr>
      <w:r>
        <w:rPr>
          <w:rFonts w:ascii="微软雅黑" w:hAnsi="微软雅黑" w:eastAsia="微软雅黑"/>
          <w:b/>
          <w:color w:val="1F4E79"/>
          <w:sz w:val="32"/>
        </w:rPr>
        <w:t>三、已完成的训练流程</w:t>
      </w:r>
    </w:p>
    <w:p>
      <w:pPr>
        <w:pStyle w:val="Heading2"/>
        <w:keepNext/>
        <w:spacing w:before="180" w:after="120" w:line="324" w:lineRule="auto"/>
      </w:pPr>
      <w:r>
        <w:rPr>
          <w:rFonts w:ascii="微软雅黑" w:hAnsi="微软雅黑" w:eastAsia="微软雅黑"/>
          <w:b/>
          <w:color w:val="2D3033"/>
          <w:sz w:val="25"/>
        </w:rPr>
        <w:t>3.1 数据与评价流程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b w:val="0"/>
          <w:color w:val="2D3033"/>
          <w:sz w:val="21"/>
        </w:rPr>
        <w:t>建立匿名患者清单，使用患者级切分，避免同一患者跨训练、验证和测试集。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b w:val="0"/>
          <w:color w:val="2D3033"/>
          <w:sz w:val="21"/>
        </w:rPr>
        <w:t>实现全图缩放、水平翻转、轻度旋转、亮度和对比度调整，不进行随机裁切，避免直接裁掉病灶。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b w:val="0"/>
          <w:color w:val="2D3033"/>
          <w:sz w:val="21"/>
        </w:rPr>
        <w:t>实现类别加权交叉熵、AMP混合精度、AdamW优化器和余弦退火。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b w:val="0"/>
          <w:color w:val="2D3033"/>
          <w:sz w:val="21"/>
        </w:rPr>
        <w:t>记录训练损失、训练准确率、验证图像级指标、验证患者级指标和每轮耗时。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b w:val="0"/>
          <w:color w:val="2D3033"/>
          <w:sz w:val="21"/>
        </w:rPr>
        <w:t>实现验证集阈值选择、患者级均值聚合和患者cluster bootstrap置信区间。</w:t>
      </w:r>
    </w:p>
    <w:p>
      <w:pPr>
        <w:pStyle w:val="Heading2"/>
        <w:keepNext/>
        <w:spacing w:before="180" w:after="120" w:line="324" w:lineRule="auto"/>
      </w:pPr>
      <w:r>
        <w:rPr>
          <w:rFonts w:ascii="微软雅黑" w:hAnsi="微软雅黑" w:eastAsia="微软雅黑"/>
          <w:b/>
          <w:color w:val="2D3033"/>
          <w:sz w:val="25"/>
        </w:rPr>
        <w:t>3.2 ResNet18二分类实验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先使用普通ResNet18 ImageNet预训练模型建立基线。第一阶段冻结主干，只训练分类头；第二阶段解冻layer4进行微调。模型选择使用验证集患者级AUROC，测试集只在模型选择完成后评估。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35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实验</w:t>
            </w:r>
          </w:p>
        </w:tc>
        <w:tc>
          <w:tcPr>
            <w:tcW w:type="dxa" w:w="1701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测试患者AUROC</w:t>
            </w:r>
          </w:p>
        </w:tc>
        <w:tc>
          <w:tcPr>
            <w:tcW w:type="dxa" w:w="1474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选定阈值</w:t>
            </w:r>
          </w:p>
        </w:tc>
        <w:tc>
          <w:tcPr>
            <w:tcW w:type="dxa" w:w="1928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患者Balanced Acc</w:t>
            </w:r>
          </w:p>
        </w:tc>
        <w:tc>
          <w:tcPr>
            <w:tcW w:type="dxa" w:w="3061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主要判断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全图继承患者标签</w:t>
            </w:r>
          </w:p>
        </w:tc>
        <w:tc>
          <w:tcPr>
            <w:tcW w:type="dxa" w:w="170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0.639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0.15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0.528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旧编码，结果不稳定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仅有效框图片</w:t>
            </w:r>
          </w:p>
        </w:tc>
        <w:tc>
          <w:tcPr>
            <w:tcW w:type="dxa" w:w="1701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0.722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0.39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0.597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当前最高，但仍不可用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冻结主干线性探针</w:t>
            </w:r>
          </w:p>
        </w:tc>
        <w:tc>
          <w:tcPr>
            <w:tcW w:type="dxa" w:w="170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0.583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0.26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0.542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降低自由度没有解决问题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颜色/纹理逻辑回归</w:t>
            </w:r>
          </w:p>
        </w:tc>
        <w:tc>
          <w:tcPr>
            <w:tcW w:type="dxa" w:w="1701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0.222</w:t>
            </w:r>
          </w:p>
        </w:tc>
        <w:tc>
          <w:tcPr>
            <w:tcW w:type="dxa" w:w="1474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0.46</w:t>
            </w:r>
          </w:p>
        </w:tc>
        <w:tc>
          <w:tcPr>
            <w:tcW w:type="dxa" w:w="1928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0.222</w:t>
            </w:r>
          </w:p>
        </w:tc>
        <w:tc>
          <w:tcPr>
            <w:tcW w:type="dxa" w:w="3061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简单颜色信号不稳定</w:t>
            </w:r>
          </w:p>
        </w:tc>
      </w:tr>
    </w:tbl>
    <w:p>
      <w:pPr>
        <w:spacing w:after="0"/>
      </w:pP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微调阶段训练准确率快速升高，但验证集患者AUROC没有同步改善，出现明显过拟合。冻结主干后测试AUROC反而下降，说明问题不只是模型容量，可能还包括图像级标签噪声、患者间采集差异和有效样本量不足。</w:t>
      </w:r>
    </w:p>
    <w:p>
      <w:pPr>
        <w:pStyle w:val="Heading2"/>
        <w:keepNext/>
        <w:spacing w:before="180" w:after="120" w:line="324" w:lineRule="auto"/>
      </w:pPr>
      <w:r>
        <w:rPr>
          <w:rFonts w:ascii="微软雅黑" w:hAnsi="微软雅黑" w:eastAsia="微软雅黑"/>
          <w:b/>
          <w:color w:val="2D3033"/>
          <w:sz w:val="25"/>
        </w:rPr>
        <w:t>3.3 过程可视化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为每次实验生成了训练曲线、训练过程GIF、测试概览和HTML看板。可视化包括训练与验证指标、患者概率分布、图像级ROC、图像级和患者级混淆矩阵，便于检查模型是在学习还是只是在拟合训练集。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3713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1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24" w:lineRule="auto"/>
        <w:jc w:val="center"/>
      </w:pPr>
      <w:r>
        <w:rPr>
          <w:rFonts w:ascii="宋体" w:hAnsi="宋体" w:eastAsia="宋体"/>
          <w:b w:val="0"/>
          <w:color w:val="5F6368"/>
          <w:sz w:val="18"/>
        </w:rPr>
        <w:t>图1  旧版509张数据上的ResNet18训练过程（历史编码）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44000" cy="41707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170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24" w:lineRule="auto"/>
        <w:jc w:val="center"/>
      </w:pPr>
      <w:r>
        <w:rPr>
          <w:rFonts w:ascii="宋体" w:hAnsi="宋体" w:eastAsia="宋体"/>
          <w:b w:val="0"/>
          <w:color w:val="5F6368"/>
          <w:sz w:val="18"/>
        </w:rPr>
        <w:t>图2  旧版509张数据上的测试概览（历史编码）</w:t>
      </w:r>
    </w:p>
    <w:p>
      <w:pPr>
        <w:pStyle w:val="Heading1"/>
        <w:keepNext/>
        <w:spacing w:before="280" w:after="120" w:line="324" w:lineRule="auto"/>
      </w:pPr>
      <w:r>
        <w:rPr>
          <w:rFonts w:ascii="微软雅黑" w:hAnsi="微软雅黑" w:eastAsia="微软雅黑"/>
          <w:b/>
          <w:color w:val="1F4E79"/>
          <w:sz w:val="32"/>
        </w:rPr>
        <w:t>四、按照指导书实现的模型参数与最优模型选择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已实现ResNet-50基线和EfficientNet-B3主模型的统一训练入口。参数按项目指导书设置：ImageNet预训练、Adam、三阶段解冻、学习率1e-3/1e-4/1e-5、20/40/40个epoch、Dropout 0.5、标签平滑0.1、权重衰减1e-4和早停patience 10。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4873"/>
        <w:gridCol w:w="4873"/>
      </w:tblGrid>
      <w:tr>
        <w:tc>
          <w:tcPr>
            <w:tcW w:type="dxa" w:w="2835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6236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实现内容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基线模型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ResNet-50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主要优化模型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EfficientNet-B3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优化器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Adam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阶段1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冻结主干，只训练分类头，lr=1e-3，20 epoch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阶段2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解冻最后两个stage，lr=1e-4，40 epoch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阶段3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解冻全部参数，lr=1e-5，40 epoch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分类头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Dropout 0.5 + Linear + ReLU + Dropout 0.25 + Linear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损失函数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类别加权交叉熵 + label smoothing 0.1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最优模型选择</w:t>
            </w:r>
          </w:p>
        </w:tc>
        <w:tc>
          <w:tcPr>
            <w:tcW w:type="dxa" w:w="623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验证集准确率；同分依次比较macro F1和AUROC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AFC4D6"/>
          <w:left w:val="single" w:sz="8" w:color="AFC4D6"/>
          <w:bottom w:val="single" w:sz="8" w:color="AFC4D6"/>
          <w:right w:val="single" w:sz="8" w:color="AFC4D6"/>
          <w:insideH w:val="single" w:sz="8" w:color="AFC4D6"/>
          <w:insideV w:val="single" w:sz="8" w:color="AFC4D6"/>
        </w:tblBorders>
      </w:tblPr>
      <w:tblGrid>
        <w:gridCol w:w="9746"/>
      </w:tblGrid>
      <w:tr>
        <w:tc>
          <w:tcPr>
            <w:tcW w:type="dxa" w:w="9746"/>
            <w:shd w:fill="FFF2CC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执行状态</w:t>
            </w:r>
          </w:p>
          <w:p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color w:val="2D3033"/>
                <w:sz w:val="20"/>
              </w:rPr>
              <w:t>训练框架已经完成1 epoch/阶段的冒烟验证，ResNet-50和EfficientNet-B3均能正常运行并保存验证结果；正式20/40/40训练尚未完成。当前没有可报告的新版指导书对照结果。</w:t>
            </w:r>
          </w:p>
        </w:tc>
      </w:tr>
    </w:tbl>
    <w:p>
      <w:pPr>
        <w:spacing w:after="0"/>
      </w:pP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由于当前只有二分类标签，本轮严格照搬了指导书的模型结构、优化器、阶段学习率、正则化和最优模型选择规则，但没有执行五分类类别数和7:2:1划分。现有患者级70/15/15切分继续保留，以保证旧实验可比。</w:t>
      </w:r>
    </w:p>
    <w:p>
      <w:pPr>
        <w:pStyle w:val="Heading1"/>
        <w:keepNext/>
        <w:spacing w:before="280" w:after="120" w:line="324" w:lineRule="auto"/>
      </w:pPr>
      <w:r>
        <w:rPr>
          <w:rFonts w:ascii="微软雅黑" w:hAnsi="微软雅黑" w:eastAsia="微软雅黑"/>
          <w:b/>
          <w:color w:val="1F4E79"/>
          <w:sz w:val="32"/>
        </w:rPr>
        <w:t>五、当前主要问题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3249"/>
        <w:gridCol w:w="3249"/>
        <w:gridCol w:w="3249"/>
      </w:tblGrid>
      <w:tr>
        <w:tc>
          <w:tcPr>
            <w:tcW w:type="dxa" w:w="2835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问题</w:t>
            </w:r>
          </w:p>
        </w:tc>
        <w:tc>
          <w:tcPr>
            <w:tcW w:type="dxa" w:w="4422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对训练的影响</w:t>
            </w:r>
          </w:p>
        </w:tc>
        <w:tc>
          <w:tcPr>
            <w:tcW w:type="dxa" w:w="3515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下一步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有效样本量小</w:t>
            </w:r>
          </w:p>
        </w:tc>
        <w:tc>
          <w:tcPr>
            <w:tcW w:type="dxa" w:w="442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测试集仅13位患者，指标波动大</w:t>
            </w:r>
          </w:p>
        </w:tc>
        <w:tc>
          <w:tcPr>
            <w:tcW w:type="dxa" w:w="351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重复患者级切分或分组交叉验证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图像级标签可能含噪</w:t>
            </w:r>
          </w:p>
        </w:tc>
        <w:tc>
          <w:tcPr>
            <w:tcW w:type="dxa" w:w="4422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患者标签继承给所有图片，可能把无病灶图当作阳性</w:t>
            </w:r>
          </w:p>
        </w:tc>
        <w:tc>
          <w:tcPr>
            <w:tcW w:type="dxa" w:w="351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改为逐图标签或框级ROI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旧版与新版数据不一致</w:t>
            </w:r>
          </w:p>
        </w:tc>
        <w:tc>
          <w:tcPr>
            <w:tcW w:type="dxa" w:w="442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当前指标不能代表v5数据</w:t>
            </w:r>
          </w:p>
        </w:tc>
        <w:tc>
          <w:tcPr>
            <w:tcW w:type="dxa" w:w="351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将训练切换至新版1117张候选包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旧实验标签编码相反</w:t>
            </w:r>
          </w:p>
        </w:tc>
        <w:tc>
          <w:tcPr>
            <w:tcW w:type="dxa" w:w="4422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旧敏感度和阈值不能直接复用</w:t>
            </w:r>
          </w:p>
        </w:tc>
        <w:tc>
          <w:tcPr>
            <w:tcW w:type="dxa" w:w="351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使用l=1、n=0的v2清单重新训练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微调易过拟合</w:t>
            </w:r>
          </w:p>
        </w:tc>
        <w:tc>
          <w:tcPr>
            <w:tcW w:type="dxa" w:w="442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训练准确率接近饱和，验证AUROC下降</w:t>
            </w:r>
          </w:p>
        </w:tc>
        <w:tc>
          <w:tcPr>
            <w:tcW w:type="dxa" w:w="351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优先线性探针、强正则和冻结策略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正式指导书训练未跑完</w:t>
            </w:r>
          </w:p>
        </w:tc>
        <w:tc>
          <w:tcPr>
            <w:tcW w:type="dxa" w:w="4422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尚无ResNet-50与EfficientNet-B3正式比较</w:t>
            </w:r>
          </w:p>
        </w:tc>
        <w:tc>
          <w:tcPr>
            <w:tcW w:type="dxa" w:w="3515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完成20/40/40训练和验证选择</w:t>
            </w:r>
          </w:p>
        </w:tc>
      </w:tr>
      <w:tr>
        <w:tc>
          <w:tcPr>
            <w:tcW w:type="dxa" w:w="283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缺少外部验证</w:t>
            </w:r>
          </w:p>
        </w:tc>
        <w:tc>
          <w:tcPr>
            <w:tcW w:type="dxa" w:w="442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无法判断临床泛化</w:t>
            </w:r>
          </w:p>
        </w:tc>
        <w:tc>
          <w:tcPr>
            <w:tcW w:type="dxa" w:w="3515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增加时间外或第二中心验证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 w:line="324" w:lineRule="auto"/>
      </w:pPr>
      <w:r>
        <w:rPr>
          <w:rFonts w:ascii="微软雅黑" w:hAnsi="微软雅黑" w:eastAsia="微软雅黑"/>
          <w:b/>
          <w:color w:val="1F4E79"/>
          <w:sz w:val="32"/>
        </w:rPr>
        <w:t>六、未来预期：五分类标注到位后的适配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AFC4D6"/>
          <w:left w:val="single" w:sz="8" w:color="AFC4D6"/>
          <w:bottom w:val="single" w:sz="8" w:color="AFC4D6"/>
          <w:right w:val="single" w:sz="8" w:color="AFC4D6"/>
          <w:insideH w:val="single" w:sz="8" w:color="AFC4D6"/>
          <w:insideV w:val="single" w:sz="8" w:color="AFC4D6"/>
        </w:tblBorders>
      </w:tblPr>
      <w:tblGrid>
        <w:gridCol w:w="9746"/>
      </w:tblGrid>
      <w:tr>
        <w:tc>
          <w:tcPr>
            <w:tcW w:type="dxa" w:w="9746"/>
            <w:shd w:fill="DCE6F1"/>
            <w:tcMar>
              <w:top w:w="150" w:type="dxa"/>
              <w:bottom w:w="15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结论</w:t>
            </w:r>
          </w:p>
          <w:p>
            <w:pPr>
              <w:spacing w:after="0" w:line="312" w:lineRule="auto"/>
            </w:pPr>
            <w:r>
              <w:rPr>
                <w:rFonts w:ascii="宋体" w:hAnsi="宋体" w:eastAsia="宋体"/>
                <w:b w:val="0"/>
                <w:color w:val="2D3033"/>
                <w:sz w:val="20"/>
              </w:rPr>
              <w:t>可以在模型结构上较快适配，但能否称为“快速完成”取决于五分类标签粒度、标签质量和患者级切分，而不是只取决于网络代码。</w:t>
            </w:r>
          </w:p>
        </w:tc>
      </w:tr>
    </w:tbl>
    <w:p>
      <w:pPr>
        <w:spacing w:after="0"/>
      </w:pP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如果五分类标签是整图或患者级，现有ResNet-50/EfficientNet-B3主干、三阶段训练、数据增强、检查点保存和验证选择流程都可以复用。主要改造是输出层从2类改为5类、重新计算类别权重、增加macro F1/混淆矩阵/Kappa等指标，然后重新训练。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如果五分类标签是框级，则不能只替换最后分类层。需要在检测模型或ROI分类器中增加五类病种输出，并调整框级类别映射、NMS和FROC评价。此时主要工作量在任务重构和标签核验，而不是分类头本身。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4873"/>
        <w:gridCol w:w="4873"/>
      </w:tblGrid>
      <w:tr>
        <w:tc>
          <w:tcPr>
            <w:tcW w:type="dxa" w:w="3402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标注粒度</w:t>
            </w:r>
          </w:p>
        </w:tc>
        <w:tc>
          <w:tcPr>
            <w:tcW w:type="dxa" w:w="5669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迁移预期</w:t>
            </w:r>
          </w:p>
        </w:tc>
      </w:tr>
      <w:tr>
        <w:tc>
          <w:tcPr>
            <w:tcW w:type="dxa" w:w="340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整图或患者级五分类</w:t>
            </w:r>
          </w:p>
        </w:tc>
        <w:tc>
          <w:tcPr>
            <w:tcW w:type="dxa" w:w="566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较快：主干和训练流程复用，替换2类头为5类头</w:t>
            </w:r>
          </w:p>
        </w:tc>
      </w:tr>
      <w:tr>
        <w:tc>
          <w:tcPr>
            <w:tcW w:type="dxa" w:w="3402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框级五分类</w:t>
            </w:r>
          </w:p>
        </w:tc>
        <w:tc>
          <w:tcPr>
            <w:tcW w:type="dxa" w:w="5669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中等：需要检测/ROI流程和新的框级评价</w:t>
            </w:r>
          </w:p>
        </w:tc>
      </w:tr>
      <w:tr>
        <w:tc>
          <w:tcPr>
            <w:tcW w:type="dxa" w:w="340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混合粒度</w:t>
            </w:r>
          </w:p>
        </w:tc>
        <w:tc>
          <w:tcPr>
            <w:tcW w:type="dxa" w:w="566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先统一标签和预测单位，再决定多任务或分层模型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 w:line="324" w:lineRule="auto"/>
      </w:pPr>
      <w:r>
        <w:rPr>
          <w:rFonts w:ascii="微软雅黑" w:hAnsi="微软雅黑" w:eastAsia="微软雅黑"/>
          <w:b/>
          <w:color w:val="1F4E79"/>
          <w:sz w:val="32"/>
        </w:rPr>
        <w:t>七、下一阶段训练计划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7C9D6"/>
          <w:left w:val="single" w:sz="6" w:color="B7C9D6"/>
          <w:bottom w:val="single" w:sz="6" w:color="B7C9D6"/>
          <w:right w:val="single" w:sz="6" w:color="B7C9D6"/>
          <w:insideH w:val="single" w:sz="6" w:color="B7C9D6"/>
          <w:insideV w:val="single" w:sz="6" w:color="B7C9D6"/>
        </w:tblBorders>
      </w:tblPr>
      <w:tblGrid>
        <w:gridCol w:w="3249"/>
        <w:gridCol w:w="3249"/>
        <w:gridCol w:w="3249"/>
      </w:tblGrid>
      <w:tr>
        <w:tc>
          <w:tcPr>
            <w:tcW w:type="dxa" w:w="1417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优先级</w:t>
            </w:r>
          </w:p>
        </w:tc>
        <w:tc>
          <w:tcPr>
            <w:tcW w:type="dxa" w:w="4139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任务</w:t>
            </w:r>
          </w:p>
        </w:tc>
        <w:tc>
          <w:tcPr>
            <w:tcW w:type="dxa" w:w="4082"/>
            <w:shd w:fill="DCE6F1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F4E79"/>
                <w:sz w:val="19"/>
              </w:rPr>
              <w:t>验收标准</w:t>
            </w:r>
          </w:p>
        </w:tc>
      </w:tr>
      <w:tr>
        <w:tc>
          <w:tcPr>
            <w:tcW w:type="dxa" w:w="141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P0</w:t>
            </w:r>
          </w:p>
        </w:tc>
        <w:tc>
          <w:tcPr>
            <w:tcW w:type="dxa" w:w="413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接入新版v5候选包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固定图片、XML、TXT和来源组划分</w:t>
            </w:r>
          </w:p>
        </w:tc>
      </w:tr>
      <w:tr>
        <w:tc>
          <w:tcPr>
            <w:tcW w:type="dxa" w:w="1417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P0</w:t>
            </w:r>
          </w:p>
        </w:tc>
        <w:tc>
          <w:tcPr>
            <w:tcW w:type="dxa" w:w="4139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切换到v2标签编码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全部训练统一使用n=0、l=1</w:t>
            </w:r>
          </w:p>
        </w:tc>
      </w:tr>
      <w:tr>
        <w:tc>
          <w:tcPr>
            <w:tcW w:type="dxa" w:w="141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P0</w:t>
            </w:r>
          </w:p>
        </w:tc>
        <w:tc>
          <w:tcPr>
            <w:tcW w:type="dxa" w:w="413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完成ResNet-50正式训练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按20/40/40跑完并保存最佳检查点</w:t>
            </w:r>
          </w:p>
        </w:tc>
      </w:tr>
      <w:tr>
        <w:tc>
          <w:tcPr>
            <w:tcW w:type="dxa" w:w="1417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P0</w:t>
            </w:r>
          </w:p>
        </w:tc>
        <w:tc>
          <w:tcPr>
            <w:tcW w:type="dxa" w:w="4139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完成EfficientNet-B3正式训练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按同一规则完成并输出验证选择结果</w:t>
            </w:r>
          </w:p>
        </w:tc>
      </w:tr>
      <w:tr>
        <w:tc>
          <w:tcPr>
            <w:tcW w:type="dxa" w:w="141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P1</w:t>
            </w:r>
          </w:p>
        </w:tc>
        <w:tc>
          <w:tcPr>
            <w:tcW w:type="dxa" w:w="413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比较最优模型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按验证准确率选择，记录F1、AUROC和Kappa</w:t>
            </w:r>
          </w:p>
        </w:tc>
      </w:tr>
      <w:tr>
        <w:tc>
          <w:tcPr>
            <w:tcW w:type="dxa" w:w="1417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P1</w:t>
            </w:r>
          </w:p>
        </w:tc>
        <w:tc>
          <w:tcPr>
            <w:tcW w:type="dxa" w:w="4139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重复患者级验证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多个种子或分组交叉验证，报告均值和95% CI</w:t>
            </w:r>
          </w:p>
        </w:tc>
      </w:tr>
      <w:tr>
        <w:tc>
          <w:tcPr>
            <w:tcW w:type="dxa" w:w="141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P1</w:t>
            </w:r>
          </w:p>
        </w:tc>
        <w:tc>
          <w:tcPr>
            <w:tcW w:type="dxa" w:w="4139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增强与预处理消融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固定数据版本，分别比较原始、几何增强和光度增强</w:t>
            </w:r>
          </w:p>
        </w:tc>
      </w:tr>
      <w:tr>
        <w:tc>
          <w:tcPr>
            <w:tcW w:type="dxa" w:w="1417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P2</w:t>
            </w:r>
          </w:p>
        </w:tc>
        <w:tc>
          <w:tcPr>
            <w:tcW w:type="dxa" w:w="4139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五分类适配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110" w:type="dxa"/>
              <w:right w:w="11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color w:val="2D3033"/>
                <w:sz w:val="18"/>
              </w:rPr>
              <w:t>标签确认后替换输出头并重新训练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 w:line="324" w:lineRule="auto"/>
      </w:pPr>
      <w:r>
        <w:rPr>
          <w:rFonts w:ascii="微软雅黑" w:hAnsi="微软雅黑" w:eastAsia="微软雅黑"/>
          <w:b/>
          <w:color w:val="1F4E79"/>
          <w:sz w:val="32"/>
        </w:rPr>
        <w:t>八、结论</w:t>
      </w:r>
    </w:p>
    <w:p>
      <w:pPr>
        <w:spacing w:before="0" w:after="120" w:line="324" w:lineRule="auto"/>
        <w:ind w:firstLine="420"/>
      </w:pPr>
      <w:r>
        <w:rPr>
          <w:rFonts w:ascii="宋体" w:hAnsi="宋体" w:eastAsia="宋体"/>
          <w:b w:val="0"/>
          <w:color w:val="2D3033"/>
          <w:sz w:val="21"/>
        </w:rPr>
        <w:t>本阶段已经完成从二分类基线到指导书三阶段训练框架的搭建，训练、验证、阈值选择、患者级评价和可视化流程均可运行。当前主要障碍不是代码能否训练，而是样本量、标签质量、数据版本和评价口径。下一步应先将训练切换到新版v5数据和v2标签编码，再完成ResNet-50/EfficientNet-B3正式训练，之后才适合讨论五分类迁移和论文主结果。</w:t>
      </w:r>
    </w:p>
    <w:p>
      <w:pPr>
        <w:pStyle w:val="Heading1"/>
        <w:keepNext/>
        <w:spacing w:before="280" w:after="120" w:line="324" w:lineRule="auto"/>
      </w:pPr>
      <w:r>
        <w:rPr>
          <w:rFonts w:ascii="微软雅黑" w:hAnsi="微软雅黑" w:eastAsia="微软雅黑"/>
          <w:b/>
          <w:color w:val="1F4E79"/>
          <w:sz w:val="32"/>
        </w:rPr>
        <w:t>资料来源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b w:val="0"/>
          <w:color w:val="2D3033"/>
          <w:sz w:val="21"/>
        </w:rPr>
        <w:t>docs/experiments/OR-B-261019-001.md、OR-B-261019-002.md、OR-B-261019-003.md。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b w:val="0"/>
          <w:color w:val="2D3033"/>
          <w:sz w:val="21"/>
        </w:rPr>
        <w:t>configs/binary_plan.yaml、scripts/train_binary_plan.py。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b w:val="0"/>
          <w:color w:val="2D3033"/>
          <w:sz w:val="21"/>
        </w:rPr>
        <w:t>docs/项目全过程日志.md、docs/技术方案.md。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b w:val="0"/>
          <w:color w:val="2D3033"/>
          <w:sz w:val="21"/>
        </w:rPr>
        <w:t>新版数据包的交接信息仅作为训练输入背景引用，数据处理工作不作为本人阶段成果。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F6368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微软雅黑" w:hAnsi="微软雅黑" w:eastAsia="微软雅黑"/>
        <w:b w:val="0"/>
        <w:color w:val="5F6368"/>
        <w:sz w:val="17"/>
      </w:rPr>
      <w:t>口腔荧光图像AI辅助诊断｜模型训练阶段工作报告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color w:val="2D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D3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D30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口腔荧光图像AI辅助诊断模型训练阶段工作报告</dc:title>
  <dc:subject>模型训练阶段工作总结</dc:subject>
  <dc:creator>严子宁</dc:creator>
  <cp:keywords/>
  <dc:description>综合数据处理工作报告与当前模型实验结果整理。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