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52"/>
        </w:rPr>
        <w:t>口腔荧光图像AI辅助诊断</w:t>
        <w:br/>
        <w:t>ResNet-50基线模型初步报告</w:t>
      </w:r>
    </w:p>
    <w:p>
      <w:pPr>
        <w:spacing w:after="680"/>
        <w:jc w:val="center"/>
      </w:pPr>
      <w:r>
        <w:rPr>
          <w:rFonts w:ascii="Microsoft YaHei" w:hAnsi="Microsoft YaHei" w:eastAsia="Microsoft YaHei"/>
          <w:b w:val="0"/>
          <w:color w:val="596870"/>
          <w:sz w:val="27"/>
        </w:rPr>
        <w:t>整图二分类训练、冻结测试与基线比较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25343B"/>
          <w:sz w:val="21"/>
        </w:rPr>
        <w:t>报告性质：初步技术报告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25343B"/>
          <w:sz w:val="21"/>
        </w:rPr>
        <w:t>数据版本：oral_binary_v5_yolo_2026-10-18_v1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25343B"/>
          <w:sz w:val="21"/>
        </w:rPr>
        <w:t>模型：ImageNet预训练 ResNet-50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25343B"/>
          <w:sz w:val="21"/>
        </w:rPr>
        <w:t>完成轮次：55 / 100（早停）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 w:val="0"/>
          <w:color w:val="25343B"/>
          <w:sz w:val="21"/>
        </w:rPr>
        <w:t>报告日期：2026年10月27日</w:t>
      </w:r>
    </w:p>
    <w:p>
      <w:pPr>
        <w:spacing w:before="680"/>
        <w:jc w:val="center"/>
      </w:pPr>
      <w:r>
        <w:rPr>
          <w:rFonts w:ascii="Microsoft YaHei" w:hAnsi="Microsoft YaHei" w:eastAsia="Microsoft YaHei"/>
          <w:b w:val="0"/>
          <w:color w:val="596870"/>
          <w:sz w:val="19"/>
        </w:rPr>
        <w:t>本报告用于阶段验收和组内讨论，不构成临床有效性结论。</w:t>
      </w:r>
    </w:p>
    <w:p>
      <w:r>
        <w:br w:type="page"/>
      </w:r>
    </w:p>
    <w:p>
      <w:pPr>
        <w:pStyle w:val="Heading1"/>
      </w:pPr>
      <w:r>
        <w:t>一、任务结论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本报告对应模型开发第三阶段第11至12周的基线模型任务：实现ResNet-50基线，完成可复现训练流程，并获得初步实验结果。当前三项任务均已形成可核验产物，但该模型仍是阶段基线，不是最终论文模型，也不能作为临床诊断依据。</w:t>
      </w: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表1  第11至12周基线任务完成情况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任务项</w:t>
            </w:r>
          </w:p>
        </w:tc>
        <w:tc>
          <w:tcPr>
            <w:tcW w:type="dxa" w:w="1800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7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当前证据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实现 ResNet-50 基线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已完成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第35轮最佳权重 best.pt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完成训练流程代码</w:t>
            </w:r>
          </w:p>
        </w:tc>
        <w:tc>
          <w:tcPr>
            <w:tcW w:type="dxa" w:w="180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已完成</w:t>
            </w:r>
          </w:p>
        </w:tc>
        <w:tc>
          <w:tcPr>
            <w:tcW w:type="dxa" w:w="417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PyCharm可运行配置、断点和历史记录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获得初步实验结果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已完成</w:t>
            </w:r>
          </w:p>
        </w:tc>
        <w:tc>
          <w:tcPr>
            <w:tcW w:type="dxa" w:w="41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验证与冻结测试指标、部位和模态分层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最终模型与临床验证</w:t>
            </w:r>
          </w:p>
        </w:tc>
        <w:tc>
          <w:tcPr>
            <w:tcW w:type="dxa" w:w="180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未完成</w:t>
            </w:r>
          </w:p>
        </w:tc>
        <w:tc>
          <w:tcPr>
            <w:tcW w:type="dxa" w:w="417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仍需优化、患者关系核验和外部队列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训练在 55 个 epoch 后早停，最佳点为第 35 轮。最佳验证 AUROC 为 0.9279，冻结测试 AUROC 为 0.6943，二者存在明显差距。因此，本报告的核心判断是：训练流程和基线实现已完成，性能尚不足以支持最终模型结论。</w:t>
      </w:r>
    </w:p>
    <w:p>
      <w:pPr>
        <w:pStyle w:val="Heading1"/>
      </w:pPr>
      <w:r>
        <w:t>二、数据与评价口径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本轮沿用交接包中的冻结整图数据，不读取XML框、不裁剪ROI，也不使用框级标签。train、val、test 的来源组划分保持不变；训练和选模仅使用 train/val，test 在权重和阈值冻结后评估一次。</w:t>
      </w: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表2  冻结数据划分与候选标签分布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160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划分</w:t>
            </w:r>
          </w:p>
        </w:tc>
        <w:tc>
          <w:tcPr>
            <w:tcW w:type="dxa" w:w="158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图片数</w:t>
            </w:r>
          </w:p>
        </w:tc>
        <w:tc>
          <w:tcPr>
            <w:tcW w:type="dxa" w:w="158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来源组</w:t>
            </w:r>
          </w:p>
        </w:tc>
        <w:tc>
          <w:tcPr>
            <w:tcW w:type="dxa" w:w="1728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正常候选</w:t>
            </w:r>
          </w:p>
        </w:tc>
        <w:tc>
          <w:tcPr>
            <w:tcW w:type="dxa" w:w="1728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病变候选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Train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893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235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332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561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Validation</w:t>
            </w:r>
          </w:p>
        </w:tc>
        <w:tc>
          <w:tcPr>
            <w:tcW w:type="dxa" w:w="158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112</w:t>
            </w:r>
          </w:p>
        </w:tc>
        <w:tc>
          <w:tcPr>
            <w:tcW w:type="dxa" w:w="158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16</w:t>
            </w:r>
          </w:p>
        </w:tc>
        <w:tc>
          <w:tcPr>
            <w:tcW w:type="dxa" w:w="172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43</w:t>
            </w:r>
          </w:p>
        </w:tc>
        <w:tc>
          <w:tcPr>
            <w:tcW w:type="dxa" w:w="172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69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Test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112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17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43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69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类别映射固定为 0 = normal_candidate、1 = lesion_candidate，正类概率为 P(lesion_candidate = 1)，判定阈值固定为 0.5。标签仍是候选标签，未经医生逐图确诊。数据按来源文件夹组隔离，但真实患者关系尚未核验，因此不能把结果表述为患者独立验证。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数据身份已锁定：dataset.json 的 SHA-256 为 5dfb816e0c1f36c418c7e39b2e279c71128f69b2e70eafba192f0279edda4289；匿名部位表的 SHA-256 为 5e3e2e67b1df8067bb59ff5f9fd1b30f8045d07ac681606e400e52c466c8af09。</w:t>
      </w:r>
    </w:p>
    <w:p>
      <w:pPr>
        <w:pStyle w:val="Heading1"/>
      </w:pPr>
      <w:r>
        <w:t>三、训练流程实现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训练入口是 experiments/oral_v7_resnet18_baseline_20261026/code/scripts/train_image_classifier.py，使用 PyCharm 运行配置 ResNet50 Baseline (Whole Image)。模型采用 ImageNet 预训练 ResNet-50，分类头替换为二分类线性层。</w:t>
      </w: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表3  ResNet-50基线训练配置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0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6768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输入</w:t>
            </w:r>
          </w:p>
        </w:tc>
        <w:tc>
          <w:tcPr>
            <w:tcW w:type="dxa" w:w="67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完整RGB图像，640像素，等比缩放并补边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训练增强</w:t>
            </w:r>
          </w:p>
        </w:tc>
        <w:tc>
          <w:tcPr>
            <w:tcW w:type="dxa" w:w="67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geometry v1：水平翻转、轻度旋转、曝光微调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优化器</w:t>
            </w:r>
          </w:p>
        </w:tc>
        <w:tc>
          <w:tcPr>
            <w:tcW w:type="dxa" w:w="67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AdamW，lr=0.001，weight decay=0.0001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batch / workers</w:t>
            </w:r>
          </w:p>
        </w:tc>
        <w:tc>
          <w:tcPr>
            <w:tcW w:type="dxa" w:w="67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8 / 4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随机种子</w:t>
            </w:r>
          </w:p>
        </w:tc>
        <w:tc>
          <w:tcPr>
            <w:tcW w:type="dxa" w:w="67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42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选模</w:t>
            </w:r>
          </w:p>
        </w:tc>
        <w:tc>
          <w:tcPr>
            <w:tcW w:type="dxa" w:w="67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最低整体验证交叉熵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早停</w:t>
            </w:r>
          </w:p>
        </w:tc>
        <w:tc>
          <w:tcPr>
            <w:tcW w:type="dxa" w:w="67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patience=20，最多100 epoch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GPU</w:t>
            </w:r>
          </w:p>
        </w:tc>
        <w:tc>
          <w:tcPr>
            <w:tcW w:type="dxa" w:w="67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RTX 5060 Laptop GPU，CUDA 12.8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本机总显存约 7.96 GiB，ResNet-50 在 640 输入下使用 batch 8，避免 OOM；ResNet18 基线使用 batch 16。该差异会影响训练动态，比较两个模型时需要保留这一限制。每个 epoch 结束后保存完整 last.pt，最佳验证损失对应的权重另存为 best.pt。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82431"/>
            <wp:docPr id="1" name="Picture 1" descr="ResNet-50 training and validation curves across 55 epoch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8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图1  ResNet-50训练与验证损失、AUROC和平衡准确率。虚线为第35轮最佳点。</w:t>
      </w:r>
    </w:p>
    <w:p>
      <w:pPr>
        <w:pStyle w:val="Heading1"/>
      </w:pPr>
      <w:r>
        <w:t>四、训练结果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训练从 2026-10-27 11:30:52 持续到 13:30:46，共完成 55 个 epoch。第 35 轮验证损失最低；此后连续20轮未改善，训练自动停止。</w:t>
      </w: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表4  ResNet-50最佳验证结果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320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第35轮验证结果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Validation loss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0.3353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AUROC</w:t>
            </w:r>
          </w:p>
        </w:tc>
        <w:tc>
          <w:tcPr>
            <w:tcW w:type="dxa" w:w="432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0.9279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Accuracy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0.8393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Sensitivity</w:t>
            </w:r>
          </w:p>
        </w:tc>
        <w:tc>
          <w:tcPr>
            <w:tcW w:type="dxa" w:w="432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0.7971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Specificity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0.9070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Balanced accuracy</w:t>
            </w:r>
          </w:p>
        </w:tc>
        <w:tc>
          <w:tcPr>
            <w:tcW w:type="dxa" w:w="432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0.8520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Confusion matrix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[[39, 4], [14, 55]]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验证集表现较为均衡：特异度达到0.9070，敏感度为0.7971。训练后期训练损失继续下降，但验证损失波动明显，说明模型容量和样本量之间的张力已经出现。</w:t>
      </w:r>
    </w:p>
    <w:p>
      <w:pPr>
        <w:pStyle w:val="Heading1"/>
      </w:pPr>
      <w:r>
        <w:t>五、冻结测试与分层结果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权重、数据和阈值冻结后，对112张测试图片执行一次评估。测试集来自17个来源组，正常候选43张，病变候选69张。</w:t>
      </w: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表5  ResNet-50冻结测试结果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测试指标</w:t>
            </w:r>
          </w:p>
        </w:tc>
        <w:tc>
          <w:tcPr>
            <w:tcW w:type="dxa" w:w="4320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AUROC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0.6943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Accuracy</w:t>
            </w:r>
          </w:p>
        </w:tc>
        <w:tc>
          <w:tcPr>
            <w:tcW w:type="dxa" w:w="432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0.7143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Sensitivity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0.7971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Specificity</w:t>
            </w:r>
          </w:p>
        </w:tc>
        <w:tc>
          <w:tcPr>
            <w:tcW w:type="dxa" w:w="432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0.5814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Balanced accuracy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0.6892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Confusion matrix</w:t>
            </w:r>
          </w:p>
        </w:tc>
        <w:tc>
          <w:tcPr>
            <w:tcW w:type="dxa" w:w="432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[[25, 18], [14, 55]]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测试 AUROC 为0.6943，明显低于验证集0.9279。验证与测试之间的落差是本轮最重要的风险信号，可能与样本量、来源组差异、候选标签噪声或模型选择波动有关，不能仅用测试分数解释。</w:t>
      </w: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表6  冻结测试的部位分层结果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部位组</w:t>
            </w:r>
          </w:p>
        </w:tc>
        <w:tc>
          <w:tcPr>
            <w:tcW w:type="dxa" w:w="792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</w:t>
            </w:r>
          </w:p>
        </w:tc>
        <w:tc>
          <w:tcPr>
            <w:tcW w:type="dxa" w:w="1008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来源组</w:t>
            </w:r>
          </w:p>
        </w:tc>
        <w:tc>
          <w:tcPr>
            <w:tcW w:type="dxa" w:w="122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AUROC</w:t>
            </w:r>
          </w:p>
        </w:tc>
        <w:tc>
          <w:tcPr>
            <w:tcW w:type="dxa" w:w="129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敏感度</w:t>
            </w:r>
          </w:p>
        </w:tc>
        <w:tc>
          <w:tcPr>
            <w:tcW w:type="dxa" w:w="129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特异度</w:t>
            </w:r>
          </w:p>
        </w:tc>
        <w:tc>
          <w:tcPr>
            <w:tcW w:type="dxa" w:w="1440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平衡准确率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舌/口底</w:t>
            </w:r>
          </w:p>
        </w:tc>
        <w:tc>
          <w:tcPr>
            <w:tcW w:type="dxa" w:w="7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50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8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0.7900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0.8108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0.6154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0.7131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牙龈/腭</w:t>
            </w:r>
          </w:p>
        </w:tc>
        <w:tc>
          <w:tcPr>
            <w:tcW w:type="dxa" w:w="792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34</w:t>
            </w:r>
          </w:p>
        </w:tc>
        <w:tc>
          <w:tcPr>
            <w:tcW w:type="dxa" w:w="100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5</w:t>
            </w:r>
          </w:p>
        </w:tc>
        <w:tc>
          <w:tcPr>
            <w:tcW w:type="dxa" w:w="122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0.7257</w:t>
            </w:r>
          </w:p>
        </w:tc>
        <w:tc>
          <w:tcPr>
            <w:tcW w:type="dxa" w:w="129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0.9375</w:t>
            </w:r>
          </w:p>
        </w:tc>
        <w:tc>
          <w:tcPr>
            <w:tcW w:type="dxa" w:w="129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0.5000</w:t>
            </w:r>
          </w:p>
        </w:tc>
        <w:tc>
          <w:tcPr>
            <w:tcW w:type="dxa" w:w="144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0.7188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颊/唇/前庭</w:t>
            </w:r>
          </w:p>
        </w:tc>
        <w:tc>
          <w:tcPr>
            <w:tcW w:type="dxa" w:w="7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28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4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0.5417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0.6250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0.6667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0.6458</w:t>
            </w:r>
          </w:p>
        </w:tc>
      </w:tr>
    </w:tbl>
    <w:p>
      <w:pPr>
        <w:spacing w:after="0"/>
      </w:pP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表7  冻结测试的模态分层结果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模态</w:t>
            </w:r>
          </w:p>
        </w:tc>
        <w:tc>
          <w:tcPr>
            <w:tcW w:type="dxa" w:w="792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n</w:t>
            </w:r>
          </w:p>
        </w:tc>
        <w:tc>
          <w:tcPr>
            <w:tcW w:type="dxa" w:w="1008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来源组</w:t>
            </w:r>
          </w:p>
        </w:tc>
        <w:tc>
          <w:tcPr>
            <w:tcW w:type="dxa" w:w="122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AUROC</w:t>
            </w:r>
          </w:p>
        </w:tc>
        <w:tc>
          <w:tcPr>
            <w:tcW w:type="dxa" w:w="129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敏感度</w:t>
            </w:r>
          </w:p>
        </w:tc>
        <w:tc>
          <w:tcPr>
            <w:tcW w:type="dxa" w:w="129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特异度</w:t>
            </w:r>
          </w:p>
        </w:tc>
        <w:tc>
          <w:tcPr>
            <w:tcW w:type="dxa" w:w="1440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平衡准确率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荧光</w:t>
            </w:r>
          </w:p>
        </w:tc>
        <w:tc>
          <w:tcPr>
            <w:tcW w:type="dxa" w:w="79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55</w:t>
            </w:r>
          </w:p>
        </w:tc>
        <w:tc>
          <w:tcPr>
            <w:tcW w:type="dxa" w:w="100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16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0.8529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0.9118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0.6190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0.7654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白光</w:t>
            </w:r>
          </w:p>
        </w:tc>
        <w:tc>
          <w:tcPr>
            <w:tcW w:type="dxa" w:w="792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57</w:t>
            </w:r>
          </w:p>
        </w:tc>
        <w:tc>
          <w:tcPr>
            <w:tcW w:type="dxa" w:w="1008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17</w:t>
            </w:r>
          </w:p>
        </w:tc>
        <w:tc>
          <w:tcPr>
            <w:tcW w:type="dxa" w:w="122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0.6117</w:t>
            </w:r>
          </w:p>
        </w:tc>
        <w:tc>
          <w:tcPr>
            <w:tcW w:type="dxa" w:w="129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0.6857</w:t>
            </w:r>
          </w:p>
        </w:tc>
        <w:tc>
          <w:tcPr>
            <w:tcW w:type="dxa" w:w="129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0.5455</w:t>
            </w:r>
          </w:p>
        </w:tc>
        <w:tc>
          <w:tcPr>
            <w:tcW w:type="dxa" w:w="1440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0.6156</w:t>
            </w:r>
          </w:p>
        </w:tc>
      </w:tr>
    </w:tbl>
    <w:p>
      <w:pPr>
        <w:spacing w:after="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67800"/>
            <wp:docPr id="2" name="Picture 2" descr="ResNet-50 frozen-test AUROC by anatomical site and image modal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ified_au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图2  ResNet-50冻结测试的部位与模态AUROC。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白光子组 AUROC 为0.6117，荧光子组为0.8529。该差异只能作为描述性观察：子组来源组数量少，且没有预先规定置信区间，不能据此选择模态或宣称某一模态更可靠。</w:t>
      </w:r>
    </w:p>
    <w:p>
      <w:pPr>
        <w:pStyle w:val="Heading1"/>
      </w:pPr>
      <w:r>
        <w:t>六、与ResNet18基线的描述性比较</w:t>
      </w: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表8  两个整图基线在同一测试集上的描述性比较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165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测试AUROC</w:t>
            </w:r>
          </w:p>
        </w:tc>
        <w:tc>
          <w:tcPr>
            <w:tcW w:type="dxa" w:w="158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敏感度</w:t>
            </w:r>
          </w:p>
        </w:tc>
        <w:tc>
          <w:tcPr>
            <w:tcW w:type="dxa" w:w="158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特异度</w:t>
            </w:r>
          </w:p>
        </w:tc>
        <w:tc>
          <w:tcPr>
            <w:tcW w:type="dxa" w:w="1944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平衡准确率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ResNet18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0.7988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0.9855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0.3488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0.6672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ResNet50</w:t>
            </w:r>
          </w:p>
        </w:tc>
        <w:tc>
          <w:tcPr>
            <w:tcW w:type="dxa" w:w="165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0.6943</w:t>
            </w:r>
          </w:p>
        </w:tc>
        <w:tc>
          <w:tcPr>
            <w:tcW w:type="dxa" w:w="158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0.7971</w:t>
            </w:r>
          </w:p>
        </w:tc>
        <w:tc>
          <w:tcPr>
            <w:tcW w:type="dxa" w:w="158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0.5814</w:t>
            </w:r>
          </w:p>
        </w:tc>
        <w:tc>
          <w:tcPr>
            <w:tcW w:type="dxa" w:w="1944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0.6892</w:t>
            </w:r>
          </w:p>
        </w:tc>
      </w:tr>
    </w:tbl>
    <w:p>
      <w:pPr>
        <w:spacing w:after="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41511"/>
            <wp:docPr id="3" name="Picture 3" descr="Frozen test comparison between ResNet18 and ResNet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41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4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图3  ResNet18与ResNet50在冻结测试集上的指标比较。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ResNet50把特异度从0.3488提高到0.5814，但敏感度从0.9855降到0.7971，AUROC也从0.7988降到0.6943。两个模型在不同指标上各有取舍，当前没有足够证据说明哪一个应作为最终模型；应继续以验证集为主要决策依据。</w:t>
      </w:r>
    </w:p>
    <w:p>
      <w:pPr>
        <w:pStyle w:val="Heading1"/>
      </w:pPr>
      <w:r>
        <w:t>七、问题与局限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验证与测试差距：ResNet50验证AUROC 0.9279、测试AUROC 0.6943，提示泛化不稳定。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样本量有限：测试集仅112张、17个来源组，子组结果波动较大。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标签边界：候选标签未经医生逐图确诊，不能把模型输出等同于临床诊断。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分组边界：来源文件夹组不等于真实患者，患者独立评价尚未完成。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测试复用：同一测试集已用于ResNet18报告，本轮结果不能视为完全未触碰的外部验证。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训练条件差异：ResNet50受8 GB显存限制使用batch 8，ResNet18使用batch 16。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可解释性缺位：Grad-CAM尚未实现，当前无法判断模型关注区域是否与病灶区域一致。</w:t>
      </w:r>
    </w:p>
    <w:p>
      <w:r>
        <w:br w:type="page"/>
      </w:r>
    </w:p>
    <w:p>
      <w:pPr>
        <w:pStyle w:val="Heading1"/>
      </w:pPr>
      <w:r>
        <w:t>八、结论与下一步</w:t>
      </w: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ResNet-50基线模型已经完成实现、训练和初步评价，满足第11至12周任务的工程要求，但性能与稳定性尚不足以进入最终模型阶段。下一步应继续保持测试集封存，把类别加权、阈值校准、单模态和增强策略作为验证集上的候选改进，不按测试结果逐次挑方案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完成患者级关系核验，明确当前来源组划分的独立性边界。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在验证集上预注册并比较类别加权、损失函数、阈值校准和单模态方案。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统一比较时固定数据、split、输入尺寸、增强与训练预算，并报告多随机种子波动。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确定候选模型后实现Grad-CAM，检查关注区域与历史标注框的一致性。</w:t>
      </w:r>
    </w:p>
    <w:p>
      <w:pPr>
        <w:pStyle w:val="ListBullet"/>
        <w:spacing w:after="60" w:line="288" w:lineRule="auto"/>
      </w:pPr>
      <w:r>
        <w:rPr>
          <w:rFonts w:ascii="Microsoft YaHei" w:hAnsi="Microsoft YaHei" w:eastAsia="Microsoft YaHei"/>
          <w:b w:val="0"/>
          <w:color w:val="25343B"/>
          <w:sz w:val="21"/>
        </w:rPr>
        <w:t>在新的独立保留集或外部数据上完成最终验证，再形成论文主结果。</w:t>
      </w:r>
    </w:p>
    <w:p>
      <w:pPr>
        <w:pStyle w:val="Heading1"/>
      </w:pPr>
      <w:r>
        <w:t>附录  可复现产物与审计信息</w:t>
      </w:r>
    </w:p>
    <w:p>
      <w:pPr>
        <w:keepNext/>
        <w:spacing w:before="40" w:after="80"/>
        <w:jc w:val="center"/>
      </w:pPr>
      <w:r>
        <w:rPr>
          <w:rFonts w:ascii="Microsoft YaHei" w:hAnsi="Microsoft YaHei" w:eastAsia="Microsoft YaHei"/>
          <w:b w:val="0"/>
          <w:color w:val="596870"/>
          <w:sz w:val="17"/>
        </w:rPr>
        <w:t>表9  报告依据与可复现产物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产物</w:t>
            </w:r>
          </w:p>
        </w:tc>
        <w:tc>
          <w:tcPr>
            <w:tcW w:type="dxa" w:w="6696"/>
            <w:vAlign w:val="center"/>
            <w:shd w:fill="1F4E79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路径或标识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最佳权重</w:t>
            </w:r>
          </w:p>
        </w:tc>
        <w:tc>
          <w:tcPr>
            <w:tcW w:type="dxa" w:w="66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resnet50_whole_image_geometry_20261027_pycharm/best.pt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训练历史</w:t>
            </w:r>
          </w:p>
        </w:tc>
        <w:tc>
          <w:tcPr>
            <w:tcW w:type="dxa" w:w="669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history.json（55个epoch）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训练总记录</w:t>
            </w:r>
          </w:p>
        </w:tc>
        <w:tc>
          <w:tcPr>
            <w:tcW w:type="dxa" w:w="66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training_record_20261027.json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冻结协议</w:t>
            </w:r>
          </w:p>
        </w:tc>
        <w:tc>
          <w:tcPr>
            <w:tcW w:type="dxa" w:w="669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final_test_protocol_20261027.json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测试指标</w:t>
            </w:r>
          </w:p>
        </w:tc>
        <w:tc>
          <w:tcPr>
            <w:tcW w:type="dxa" w:w="66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final_test_20261027_1345/test_metrics.json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部位/模态分层</w:t>
            </w:r>
          </w:p>
        </w:tc>
        <w:tc>
          <w:tcPr>
            <w:tcW w:type="dxa" w:w="669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final_test_20261027_1345/stratified_metrics.csv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最佳权重SHA-256</w:t>
            </w:r>
          </w:p>
        </w:tc>
        <w:tc>
          <w:tcPr>
            <w:tcW w:type="dxa" w:w="669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d08425df3b0b2906ecb7174f2aed098b6daa114165e4d7de0589b43eea31b3e4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PyCharm配置</w:t>
            </w:r>
          </w:p>
        </w:tc>
        <w:tc>
          <w:tcPr>
            <w:tcW w:type="dxa" w:w="6696"/>
            <w:vAlign w:val="center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5343B"/>
                <w:sz w:val="17"/>
              </w:rPr>
              <w:t>.idea/runConfigurations/ResNet50_Baseline.xml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YaHei" w:hAnsi="Microsoft YaHei" w:eastAsia="Microsoft YaHei"/>
          <w:b w:val="0"/>
          <w:color w:val="25343B"/>
          <w:sz w:val="21"/>
        </w:rPr>
        <w:t>本报告中的数值来自冻结训练记录和测试输出，不补写未运行的实验。如果后续更改数据、模型、阈值或评测口径，应新建实验版本并重新记录，不能覆盖本报告所对应的冻结结果。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61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96870"/>
        <w:sz w:val="17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/>
        <w:b w:val="0"/>
        <w:color w:val="5968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96870"/>
        <w:sz w:val="17"/>
      </w:rPr>
      <w:t>口腔荧光图像AI辅助诊断｜ResNet-50基线初步报告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2534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口腔荧光图像AI辅助诊断ResNet-50基线模型初步报告</dc:title>
  <dc:subject>整图二分类基线训练、冻结测试与比较</dc:subject>
  <dc:creator>项目模型训练组</dc:creator>
  <cp:keywords>口腔荧光, ResNet-50, 整图分类, 基线模型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