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微软雅黑"/>
          <w:b/>
          <w:sz w:val="52"/>
        </w:rPr>
        <w:t>荧光图像数据处理规范</w:t>
      </w:r>
    </w:p>
    <w:p>
      <w:pPr>
        <w:spacing w:after="360"/>
        <w:jc w:val="center"/>
      </w:pPr>
      <w:r>
        <w:rPr>
          <w:rFonts w:ascii="Microsoft YaHei" w:hAnsi="Microsoft YaHei" w:eastAsia="微软雅黑"/>
          <w:b w:val="0"/>
          <w:sz w:val="26"/>
        </w:rPr>
        <w:t>搭档版 · 数据处理工作说明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B5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项目名称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基于深度学习的口腔荧光图像辅助诊断研究</w:t>
            </w:r>
          </w:p>
        </w:tc>
      </w:tr>
      <w:tr>
        <w:tc>
          <w:tcPr>
            <w:tcW w:type="dxa" w:w="2268"/>
            <w:shd w:val="clear" w:color="auto" w:fill="1F3B5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指导单位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北京大学口腔医院</w:t>
            </w:r>
          </w:p>
        </w:tc>
      </w:tr>
      <w:tr>
        <w:tc>
          <w:tcPr>
            <w:tcW w:type="dxa" w:w="2268"/>
            <w:shd w:val="clear" w:color="auto" w:fill="1F3B5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文件负责人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光电专业队员（数据预处理）</w:t>
            </w:r>
          </w:p>
        </w:tc>
      </w:tr>
      <w:tr>
        <w:tc>
          <w:tcPr>
            <w:tcW w:type="dxa" w:w="2268"/>
            <w:shd w:val="clear" w:color="auto" w:fill="1F3B5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协作对象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计算机队员（模型与训练）</w:t>
            </w:r>
          </w:p>
        </w:tc>
      </w:tr>
      <w:tr>
        <w:tc>
          <w:tcPr>
            <w:tcW w:type="dxa" w:w="2268"/>
            <w:shd w:val="clear" w:color="auto" w:fill="1F3B5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版本 / 日期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v2.0 / 2026-10-16</w:t>
            </w:r>
          </w:p>
        </w:tc>
      </w:tr>
    </w:tbl>
    <w:p/>
    <w:p>
      <w:pPr>
        <w:pStyle w:val="Heading1"/>
      </w:pPr>
      <w:r>
        <w:t>1  目的与适用范围</w:t>
      </w:r>
    </w:p>
    <w:p>
      <w:pPr>
        <w:pStyle w:val="Heading2"/>
      </w:pPr>
      <w:r>
        <w:t>1.1  为什么需要这份规范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2"/>
        </w:rPr>
        <w:t>荧光图像的质量受拍摄设备、光照条件、组织表面状态等多种因素影响。如果不做统一处理，模型很可能学到的是「哪台设备拍的」「光照有多亮」，而不是「病灶长什么样」。本规范的目的，是把数据处理这件事的**标准、步骤、验收条件**讲清楚，避免做了但说不清、无法写进论文。</w:t>
      </w:r>
    </w:p>
    <w:p>
      <w:pPr>
        <w:pStyle w:val="Heading2"/>
      </w:pPr>
      <w:r>
        <w:t>1.2  适用范围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2"/>
        </w:rPr>
        <w:t>适用对象：本项目全部 590 张临床荧光图像的处理阶段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2"/>
        </w:rPr>
        <w:t>不适用：数据标注（由临床医生负责）、模型训练（由计算机队员负责）</w:t>
      </w:r>
    </w:p>
    <w:p>
      <w:pPr>
        <w:pStyle w:val="Heading2"/>
      </w:pPr>
      <w:r>
        <w:t>1.3  名词约定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名词</w:t>
            </w:r>
          </w:p>
        </w:tc>
        <w:tc>
          <w:tcPr>
            <w:tcW w:type="dxa" w:w="7087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含义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原始图像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医院提供的、未做任何处理的 JPG 文件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处理后图像</w:t>
            </w:r>
          </w:p>
        </w:tc>
        <w:tc>
          <w:tcPr>
            <w:tcW w:type="dxa" w:w="7087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完成本规范全部步骤后的图像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背景样本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无病灶标注的图像（本项目 80 张）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下游指标</w:t>
            </w:r>
          </w:p>
        </w:tc>
        <w:tc>
          <w:tcPr>
            <w:tcW w:type="dxa" w:w="7087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模型在验证/测试集上的 mAP、Precision、Recall</w:t>
            </w:r>
          </w:p>
        </w:tc>
      </w:tr>
    </w:tbl>
    <w:p>
      <w:pPr>
        <w:spacing w:after="40"/>
      </w:pPr>
    </w:p>
    <w:p>
      <w:pPr>
        <w:pStyle w:val="Heading1"/>
      </w:pPr>
      <w:r>
        <w:t>2  输入数据现状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6803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数值 / 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图像总数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590 张（JPG）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有标注图像</w:t>
            </w:r>
          </w:p>
        </w:tc>
        <w:tc>
          <w:tcPr>
            <w:tcW w:type="dxa" w:w="6803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510 张（PASCAL VOC 格式 XML）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无标注图像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80 张（作为背景样本）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类别实例数</w:t>
            </w:r>
          </w:p>
        </w:tc>
        <w:tc>
          <w:tcPr>
            <w:tcW w:type="dxa" w:w="6803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l = 420；n = 152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患者数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83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图像尺寸</w:t>
            </w:r>
          </w:p>
        </w:tc>
        <w:tc>
          <w:tcPr>
            <w:tcW w:type="dxa" w:w="6803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1920×1080 与 5184×3456 两种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每图目标数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0–5，平均 1.12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已知问题 1</w:t>
            </w:r>
          </w:p>
        </w:tc>
        <w:tc>
          <w:tcPr>
            <w:tcW w:type="dxa" w:w="6803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姚翠华 / lin_03.xml：有 XML 但无任何目标框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已知问题 2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两种分辨率混用，需统一处理尺度</w:t>
            </w:r>
          </w:p>
        </w:tc>
      </w:tr>
    </w:tbl>
    <w:p>
      <w:pPr>
        <w:spacing w:after="40"/>
      </w:pPr>
    </w:p>
    <w:p>
      <w:pPr>
        <w:pStyle w:val="Heading1"/>
      </w:pPr>
      <w:r>
        <w:t>3  处理总原则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原则</w:t>
            </w:r>
          </w:p>
        </w:tc>
        <w:tc>
          <w:tcPr>
            <w:tcW w:type="dxa" w:w="3969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含义</w:t>
            </w:r>
          </w:p>
        </w:tc>
        <w:tc>
          <w:tcPr>
            <w:tcW w:type="dxa" w:w="3402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反例（禁止）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可复现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同样代码 + 同样参数 → 同样结果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手工凭感觉调亮度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不改变病变形态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不删除、不修补、不生成病灶区域</w:t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把可疑区抹掉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保边优先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降噪/增强不能模糊病灶边界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过度高斯模糊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可追溯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每步记录方法与参数</w:t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只做不记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不臆断临床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拿不准是否病灶时标记「待议」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自行判断良恶性</w:t>
            </w:r>
          </w:p>
        </w:tc>
      </w:tr>
    </w:tbl>
    <w:p>
      <w:pPr>
        <w:spacing w:after="40"/>
      </w:pPr>
    </w:p>
    <w:p>
      <w:pPr>
        <w:pStyle w:val="Heading1"/>
      </w:pPr>
      <w:r>
        <w:t>4  数据处理流程（六大步骤）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2"/>
        </w:rPr>
        <w:t>每一步都按统一模板记录：问题 → 原理 → 方法 → 参数 → 目标 → 指标 → 常见错误。</w:t>
      </w:r>
    </w:p>
    <w:p>
      <w:pPr>
        <w:pStyle w:val="Heading2"/>
      </w:pPr>
      <w:r>
        <w:t>4.1  光照均匀化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要素</w:t>
            </w:r>
          </w:p>
        </w:tc>
        <w:tc>
          <w:tcPr>
            <w:tcW w:type="dxa" w:w="7370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遇到的问题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荧光激发光中心强、边缘弱，图像呈明显亮度梯度；不同图整体亮度也不一致。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光学原理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激发光呈高斯分布，物镜/环形光源的照度在视野内不均匀。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处理方法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平场校正（flat-field correction）：用空白参考的强度分布做归一化；或分块背景估计并扣除。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参数记录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参考图像来源、采样块大小、校正公式。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目标结果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整幅图亮度分布均匀，消除中心—边缘梯度。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验收指标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分块亮度标准差下降（记录处理前后数值）。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常见错误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用单张图估参考 → 引入该图自身病变为背景，导致失真。</w:t>
            </w:r>
          </w:p>
        </w:tc>
      </w:tr>
    </w:tbl>
    <w:p>
      <w:pPr>
        <w:spacing w:after="40"/>
      </w:pPr>
    </w:p>
    <w:p>
      <w:pPr>
        <w:pStyle w:val="Heading2"/>
      </w:pPr>
      <w:r>
        <w:t>4.2  色彩一致性校正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要素</w:t>
            </w:r>
          </w:p>
        </w:tc>
        <w:tc>
          <w:tcPr>
            <w:tcW w:type="dxa" w:w="7370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遇到的问题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不同设备/批次的伪彩色映射不同，同一病变在不同图上颜色不一致。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光学原理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荧光强度经伪彩映射到 RGB，映射曲线随设备/设置变化。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处理方法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色彩空间转换 + 通道归一化；如有色卡，做基于色卡的白平衡校正。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参数记录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色彩空间、归一化方式、是否使用色卡。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目标结果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所有图像在同一色彩基准下表现一致。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验收指标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各通道均值/标准差趋同；同类组织颜色接近。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常见错误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直接按整图均值归一化 → 把病灶的色偏也一起抹平。</w:t>
            </w:r>
          </w:p>
        </w:tc>
      </w:tr>
    </w:tbl>
    <w:p>
      <w:pPr>
        <w:spacing w:after="40"/>
      </w:pPr>
    </w:p>
    <w:p>
      <w:pPr>
        <w:pStyle w:val="Heading2"/>
      </w:pPr>
      <w:r>
        <w:t>4.3  镜面高光抑制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要素</w:t>
            </w:r>
          </w:p>
        </w:tc>
        <w:tc>
          <w:tcPr>
            <w:tcW w:type="dxa" w:w="7370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遇到的问题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黏膜表面反光、唾液形成亮斑，易被误判为病灶。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光学原理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镜面反射使局部像素饱和，形成与荧光无关的高亮区。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处理方法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高光检测（亮度阈值 + 形态学）+ 修复（邻域插值 / 修复算法）。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参数记录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阈值、结构元尺寸、修复方法。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目标结果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镜面亮斑被有效抑制，且不残留假病灶。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验收指标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高光像素占比下降；修复区无新增伪影。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常见错误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阈值过低 → 把正常高亮组织也当成高光。</w:t>
            </w:r>
          </w:p>
        </w:tc>
      </w:tr>
    </w:tbl>
    <w:p>
      <w:pPr>
        <w:spacing w:after="40"/>
      </w:pPr>
    </w:p>
    <w:p>
      <w:pPr>
        <w:pStyle w:val="Heading2"/>
      </w:pPr>
      <w:r>
        <w:t>4.4  降噪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要素</w:t>
            </w:r>
          </w:p>
        </w:tc>
        <w:tc>
          <w:tcPr>
            <w:tcW w:type="dxa" w:w="7370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遇到的问题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低荧光区域信噪比低，出现颗粒噪声，干扰细微病变识别。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光学原理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弱荧光信号下，探测器噪声占比升高。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处理方法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非局部均值 / 中值 / 双边滤波（保边滤波）。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参数记录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滤波类型、核大小、强度参数。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目标结果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噪声下降，同时保留病变边缘与纹理。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验收指标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背景区 SNR 提升；边缘保真度不下降。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常见错误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用强高斯模糊 → 病灶边界被抹掉。</w:t>
            </w:r>
          </w:p>
        </w:tc>
      </w:tr>
    </w:tbl>
    <w:p>
      <w:pPr>
        <w:spacing w:after="40"/>
      </w:pPr>
    </w:p>
    <w:p>
      <w:pPr>
        <w:pStyle w:val="Heading2"/>
      </w:pPr>
      <w:r>
        <w:t>4.5  对比度增强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要素</w:t>
            </w:r>
          </w:p>
        </w:tc>
        <w:tc>
          <w:tcPr>
            <w:tcW w:type="dxa" w:w="7370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遇到的问题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病变与正常组织的自发荧光对比不足，肉眼与模型都难区分。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光学原理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病变组织代谢/结构改变导致荧光强度与光谱特性变化。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处理方法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对比度增强：红绿比值（RG ratio）、CLAHE、自适应直方图均衡。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参数记录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增强方法、窗口大小、裁剪阈值。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目标结果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病变区与正常区差异被有效放大。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验收指标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类间对比度提升；不引入明显伪影或饱和。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常见错误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过度增强 → 噪声也被放大，或出现饱和块。</w:t>
            </w:r>
          </w:p>
        </w:tc>
      </w:tr>
    </w:tbl>
    <w:p>
      <w:pPr>
        <w:spacing w:after="40"/>
      </w:pPr>
    </w:p>
    <w:p>
      <w:pPr>
        <w:pStyle w:val="Heading2"/>
      </w:pPr>
      <w:r>
        <w:t>4.6  质量筛查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要素</w:t>
            </w:r>
          </w:p>
        </w:tc>
        <w:tc>
          <w:tcPr>
            <w:tcW w:type="dxa" w:w="7370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遇到的问题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部分图像模糊、过曝、欠曝、重复或严重离焦，属不可用样本。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光学原理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拍摄条件不受控，导致成像质量参差。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处理方法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质量评分（清晰度/亮度/曝光）+ 阈值筛选，生成废图清单。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参数记录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各指标阈值、判定规则。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目标结果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输出可追溯的「不可用图像清单」，供团队决定剔除或补拍。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验收指标</w:t>
            </w:r>
          </w:p>
        </w:tc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给出每张图的清晰度与亮度数值，标记不合格图像。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常见错误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只凭肉眼筛图 → 标准不统一、无法复现。</w:t>
            </w:r>
          </w:p>
        </w:tc>
      </w:tr>
    </w:tbl>
    <w:p>
      <w:pPr>
        <w:spacing w:after="40"/>
      </w:pPr>
    </w:p>
    <w:p>
      <w:pPr>
        <w:pStyle w:val="Heading1"/>
      </w:pPr>
      <w:r>
        <w:t>5  需交付的产物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4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04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产物</w:t>
            </w:r>
          </w:p>
        </w:tc>
        <w:tc>
          <w:tcPr>
            <w:tcW w:type="dxa" w:w="3402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形态 / 路径</w:t>
            </w:r>
          </w:p>
        </w:tc>
        <w:tc>
          <w:tcPr>
            <w:tcW w:type="dxa" w:w="1134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传输</w:t>
            </w:r>
          </w:p>
        </w:tc>
        <w:tc>
          <w:tcPr>
            <w:tcW w:type="dxa" w:w="1134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截止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①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预处理模块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src/data/preprocessing.py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Git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10/20</w:t>
            </w:r>
          </w:p>
        </w:tc>
      </w:tr>
      <w:tr>
        <w:tc>
          <w:tcPr>
            <w:tcW w:type="dxa" w:w="794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②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处理后的图像</w:t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一批图像文件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网盘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10/20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③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前后对比图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三联图 PNG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Git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10/20</w:t>
            </w:r>
          </w:p>
        </w:tc>
      </w:tr>
      <w:tr>
        <w:tc>
          <w:tcPr>
            <w:tcW w:type="dxa" w:w="794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④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质量检查报告</w:t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Markdown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Git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10/15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⑤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处理参数与说明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docs/预处理说明.md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Git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10/20</w:t>
            </w:r>
          </w:p>
        </w:tc>
      </w:tr>
      <w:tr>
        <w:tc>
          <w:tcPr>
            <w:tcW w:type="dxa" w:w="794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⑥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预处理函数接口</w:t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6 个函数的签名与文档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Git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10/20</w:t>
            </w:r>
          </w:p>
        </w:tc>
      </w:tr>
    </w:tbl>
    <w:p>
      <w:pPr>
        <w:spacing w:after="40"/>
      </w:pPr>
    </w:p>
    <w:p>
      <w:pPr>
        <w:pStyle w:val="Heading1"/>
      </w:pPr>
      <w:r>
        <w:t>6  验收标准（三层）</w:t>
      </w:r>
    </w:p>
    <w:p>
      <w:pPr>
        <w:pStyle w:val="Heading2"/>
      </w:pPr>
      <w:r>
        <w:t>6.1  定性（最低要求）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sz w:val="22"/>
        </w:rPr>
        <w:t>处理前后并排对比，肉眼可见改善：亮度更均匀、高光消失、色彩更一致</w:t>
      </w:r>
    </w:p>
    <w:p>
      <w:pPr>
        <w:pStyle w:val="Heading2"/>
      </w:pPr>
      <w:r>
        <w:t>6.2  定量（进阶要求）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4535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计算方式</w:t>
            </w:r>
          </w:p>
        </w:tc>
        <w:tc>
          <w:tcPr>
            <w:tcW w:type="dxa" w:w="2268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目标方向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亮度均匀性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分块亮度标准差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下降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信噪比 SNR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背景均值 / 背景标准差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上升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对比度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RMS / Michelson 对比度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上升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高光比例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高亮像素占比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下降</w:t>
            </w:r>
          </w:p>
        </w:tc>
      </w:tr>
    </w:tbl>
    <w:p>
      <w:pPr>
        <w:spacing w:after="40"/>
      </w:pPr>
    </w:p>
    <w:p>
      <w:pPr>
        <w:pStyle w:val="Heading2"/>
      </w:pPr>
      <w:r>
        <w:t>6.3  下游验证（关键）</w:t>
      </w:r>
    </w:p>
    <w:p>
      <w:pPr>
        <w:spacing w:after="120"/>
      </w:pPr>
      <w:r>
        <w:rPr>
          <w:rFonts w:ascii="Microsoft YaHei" w:hAnsi="Microsoft YaHei" w:eastAsia="微软雅黑"/>
          <w:b/>
          <w:sz w:val="22"/>
        </w:rPr>
        <w:t>用处理后的数据训练模型，mAP 相比未处理有提升。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2"/>
        </w:rPr>
        <w:t>说明：前两层是过程指标，第三层「下游 mAP 提升」才是最终结论，也是写进论文的依据。</w:t>
      </w:r>
    </w:p>
    <w:p>
      <w:pPr>
        <w:pStyle w:val="Heading1"/>
      </w:pPr>
      <w:r>
        <w:t>7  检查方法与可视化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检查项</w:t>
            </w:r>
          </w:p>
        </w:tc>
        <w:tc>
          <w:tcPr>
            <w:tcW w:type="dxa" w:w="4195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计算方法</w:t>
            </w:r>
          </w:p>
        </w:tc>
        <w:tc>
          <w:tcPr>
            <w:tcW w:type="dxa" w:w="2835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产出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亮度均匀性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灰度图分块求标准差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数值 + 亮度热力图</w:t>
            </w:r>
          </w:p>
        </w:tc>
      </w:tr>
      <w:tr>
        <w:tc>
          <w:tcPr>
            <w:tcW w:type="dxa" w:w="204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对比度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RMS 对比度 / Michelson 对比度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数值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信噪比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背景区均值 / 背景区标准差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数值</w:t>
            </w:r>
          </w:p>
        </w:tc>
      </w:tr>
      <w:tr>
        <w:tc>
          <w:tcPr>
            <w:tcW w:type="dxa" w:w="204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高光比例</w:t>
            </w:r>
          </w:p>
        </w:tc>
        <w:tc>
          <w:tcPr>
            <w:tcW w:type="dxa" w:w="4195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高亮阈值以上像素占比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数值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视觉效果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处理前后并排、统一显示范围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对比图 PNG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微软雅黑"/>
          <w:b w:val="0"/>
          <w:sz w:val="22"/>
        </w:rPr>
        <w:t>推荐做法：每类随机抽 5 张，制作「原图 | 处理后 | 差值图」三联图，放入 notebooks/。</w:t>
      </w:r>
    </w:p>
    <w:p>
      <w:pPr>
        <w:pStyle w:val="Heading1"/>
      </w:pPr>
      <w:r>
        <w:t>8  消融实验设计（写论文用）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实验组</w:t>
            </w:r>
          </w:p>
        </w:tc>
        <w:tc>
          <w:tcPr>
            <w:tcW w:type="dxa" w:w="3969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训练数据</w:t>
            </w:r>
          </w:p>
        </w:tc>
        <w:tc>
          <w:tcPr>
            <w:tcW w:type="dxa" w:w="3515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记录指标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基线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原始图像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mAP@50、mAP@50-95、Precision、Recall</w:t>
            </w:r>
          </w:p>
        </w:tc>
      </w:tr>
      <w:tr>
        <w:tc>
          <w:tcPr>
            <w:tcW w:type="dxa" w:w="1587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本方案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预处理后图像</w:t>
            </w:r>
          </w:p>
        </w:tc>
        <w:tc>
          <w:tcPr>
            <w:tcW w:type="dxa" w:w="3515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同上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结论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两者差值 = 预处理带来的性能提升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9  时间节点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5783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任务</w:t>
            </w:r>
          </w:p>
        </w:tc>
        <w:tc>
          <w:tcPr>
            <w:tcW w:type="dxa" w:w="1928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截止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第 1 步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数据质量检查（模糊 / 过曝 / 欠曝 / 重复）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10/15</w:t>
            </w:r>
          </w:p>
        </w:tc>
      </w:tr>
      <w:tr>
        <w:tc>
          <w:tcPr>
            <w:tcW w:type="dxa" w:w="136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第 2 步</w:t>
            </w:r>
          </w:p>
        </w:tc>
        <w:tc>
          <w:tcPr>
            <w:tcW w:type="dxa" w:w="5783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完成前 3 项（光照 / 色彩 / 高光）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10/18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第 3 步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完成全部六项 + 落地 preprocessing.py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10/20</w:t>
            </w:r>
          </w:p>
        </w:tc>
      </w:tr>
      <w:tr>
        <w:tc>
          <w:tcPr>
            <w:tcW w:type="dxa" w:w="136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第 4 步</w:t>
            </w:r>
          </w:p>
        </w:tc>
        <w:tc>
          <w:tcPr>
            <w:tcW w:type="dxa" w:w="5783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前后对比可视化 + 参数说明文档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10/20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第 5 步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与计算机队员联调，接入训练流程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10/22</w:t>
            </w:r>
          </w:p>
        </w:tc>
      </w:tr>
    </w:tbl>
    <w:p>
      <w:pPr>
        <w:spacing w:after="40"/>
      </w:pPr>
    </w:p>
    <w:p>
      <w:pPr>
        <w:pStyle w:val="Heading1"/>
      </w:pPr>
      <w:r>
        <w:t>10  协作规范</w:t>
      </w:r>
    </w:p>
    <w:p>
      <w:pPr>
        <w:pStyle w:val="ListNumber"/>
        <w:spacing w:after="60"/>
      </w:pPr>
      <w:r>
        <w:rPr>
          <w:rFonts w:ascii="Microsoft YaHei" w:hAnsi="Microsoft YaHei" w:eastAsia="微软雅黑"/>
          <w:sz w:val="22"/>
        </w:rPr>
        <w:t>代码通过 Git 提交，采用「分支 → 推送 → Pull Request」，不直接改主分支</w:t>
      </w:r>
    </w:p>
    <w:p>
      <w:pPr>
        <w:pStyle w:val="ListNumber"/>
        <w:spacing w:after="60"/>
      </w:pPr>
      <w:r>
        <w:rPr>
          <w:rFonts w:ascii="Microsoft YaHei" w:hAnsi="Microsoft YaHei" w:eastAsia="微软雅黑"/>
          <w:sz w:val="22"/>
        </w:rPr>
        <w:t>提交信息写清做了什么，例如：「新增预处理模块：光照校正 + 高光抑制」</w:t>
      </w:r>
    </w:p>
    <w:p>
      <w:pPr>
        <w:pStyle w:val="ListNumber"/>
        <w:spacing w:after="60"/>
      </w:pPr>
      <w:r>
        <w:rPr>
          <w:rFonts w:ascii="Microsoft YaHei" w:hAnsi="Microsoft YaHei" w:eastAsia="微软雅黑"/>
          <w:sz w:val="22"/>
        </w:rPr>
        <w:t>处理后的图像体积大，走网盘传输；代码与文档走 Git</w:t>
      </w:r>
    </w:p>
    <w:p>
      <w:pPr>
        <w:pStyle w:val="ListNumber"/>
        <w:spacing w:after="60"/>
      </w:pPr>
      <w:r>
        <w:rPr>
          <w:rFonts w:ascii="Microsoft YaHei" w:hAnsi="Microsoft YaHei" w:eastAsia="微软雅黑"/>
          <w:sz w:val="22"/>
        </w:rPr>
        <w:t>处理参数统一记录在 docs/预处理说明.md，保证结果可复现</w:t>
      </w:r>
    </w:p>
    <w:p>
      <w:pPr>
        <w:pStyle w:val="ListNumber"/>
        <w:spacing w:after="60"/>
      </w:pPr>
      <w:r>
        <w:rPr>
          <w:rFonts w:ascii="Microsoft YaHei" w:hAnsi="Microsoft YaHei" w:eastAsia="微软雅黑"/>
          <w:sz w:val="22"/>
        </w:rPr>
        <w:t>临床判断存疑时标记「待议」，不自行决定</w:t>
      </w:r>
    </w:p>
    <w:p>
      <w:pPr>
        <w:pStyle w:val="Heading1"/>
      </w:pPr>
      <w:r>
        <w:t>11  附：预处理函数接口建议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6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函数</w:t>
            </w:r>
          </w:p>
        </w:tc>
        <w:tc>
          <w:tcPr>
            <w:tcW w:type="dxa" w:w="3969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作用</w:t>
            </w:r>
          </w:p>
        </w:tc>
        <w:tc>
          <w:tcPr>
            <w:tcW w:type="dxa" w:w="204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对应步骤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correct_illumination(image)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光照均匀化（平场校正）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4.1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correct_color(image)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色彩一致性校正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4.2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suppress_specular(image)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镜面高光抑制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4.3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denoise(image)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保边降噪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4.4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enhance_contrast(image)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荧光对比度增强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4.5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quality_score(image)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质量评分（模糊/过曝/欠曝）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4.6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微软雅黑"/>
          <w:b w:val="0"/>
          <w:sz w:val="22"/>
        </w:rPr>
        <w:t>每个函数需在文档字符串中说明：处理的是什么光学现象、为什么这样做。</w:t>
      </w:r>
    </w:p>
    <w:p>
      <w:pPr>
        <w:pStyle w:val="Heading1"/>
      </w:pPr>
      <w:r>
        <w:t>12  附：交付前检查清单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370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检查项</w:t>
            </w:r>
          </w:p>
        </w:tc>
        <w:tc>
          <w:tcPr>
            <w:tcW w:type="dxa" w:w="1701"/>
            <w:shd w:val="clear" w:color="auto" w:fill="1F3B5C"/>
          </w:tcPr>
          <w:p>
            <w:pPr>
              <w:spacing w:after="40" w:before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完成</w:t>
            </w:r>
          </w:p>
        </w:tc>
      </w:tr>
      <w:t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六个处理函数均已实现并有文档字符串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☐</w:t>
            </w:r>
          </w:p>
        </w:tc>
      </w:tr>
      <w:tr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处理参数已记录（可复现）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处理前后对比图已生成（每类 ≥5 张）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☐</w:t>
            </w:r>
          </w:p>
        </w:tc>
      </w:tr>
      <w:tr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定量指标已测量并记录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废图清单已生成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☐</w:t>
            </w:r>
          </w:p>
        </w:tc>
      </w:tr>
      <w:tr>
        <w:tc>
          <w:tcPr>
            <w:tcW w:type="dxa" w:w="7370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代码已通过 Git 提交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已与计算机队员联调，接入训练流程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微软雅黑"/>
                <w:b w:val="0"/>
                <w:sz w:val="22"/>
              </w:rPr>
              <w:t>☐</w:t>
            </w:r>
          </w:p>
        </w:tc>
      </w:tr>
    </w:tbl>
    <w:p>
      <w:pPr>
        <w:spacing w:after="40"/>
      </w:pPr>
    </w:p>
    <w:p/>
    <w:p>
      <w:pPr>
        <w:spacing w:after="120"/>
        <w:jc w:val="center"/>
      </w:pPr>
      <w:r>
        <w:rPr>
          <w:rFonts w:ascii="Microsoft YaHei" w:hAnsi="Microsoft YaHei" w:eastAsia="微软雅黑"/>
          <w:b w:val="0"/>
          <w:sz w:val="19"/>
        </w:rPr>
        <w:t>—— 本规范由项目组制定，如有疑问请在例会中讨论。</w:t>
      </w:r>
    </w:p>
    <w:sectPr w:rsidR="00FC693F" w:rsidRPr="0006063C" w:rsidSect="00034616"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B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B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