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clases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1.1. Dar atributos a la clase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2.2. Cardinalidad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2.3. Notación UML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Destinos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Cliente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Envío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Paquete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Paquete Especial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Transportistas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Camiones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Carga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