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Assessment 1 reflection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Use after your 1.3 Test (lessons 1 to 7) has been marked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Use this sheet after your test has been marked. Copy your mark for each question, then colour the RAG column: red if you got few or no marks, amber if you got some, green if you got full marks.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Then plan what you will do to improve your red and amber topics.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626"/>
              <w:gridCol w:w="1100"/>
              <w:gridCol w:w="1300"/>
              <w:gridCol w:w="1300"/>
            </w:tblGrid>
            <w:tr>
              <w:trPr>
                <w:cantSplit/>
                <w:tblHeader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My mark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 / A / G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Types of network: LAN, WAN, standalone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Factors affecting network performance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Client-server and peer-to-peer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Hardware used to connect a LAN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The internet, DNS, hosting and the cloud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Star and mesh topologies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60" w:before="16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________ / __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What went well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545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545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D64545"/>
                <w:sz w:val="26"/>
                <w:szCs w:val="26"/>
              </w:rPr>
              <w:t xml:space="preserve">Even better if: the topics I need to improve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improvement plan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For your weakest topic, correct your answer below using your notes or the Revise 360 experience for that lesson.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Revise 360 experiences to revisit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Types of network: zoom out (L1), Network control room (L2), Network showdown (L3), Mission: wire up the school (L4), Inside the internet (L5), Star and mesh networks (L6), Revision HQ (L7).</w:t>
            </w: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8: Assessment 1 reflection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2026-09-22T07:05:52.659Z</dcterms:created>
  <dcterms:modified xsi:type="dcterms:W3CDTF">2026-09-22T07:05:52.659Z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