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>Topic 2.1 assessment: mark scheme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>40 marks  •  For teacher use after the assessment</w:t>
            </w:r>
          </w:p>
          <w:p/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>Marking guidance</w:t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0"/>
                <w:bCs/>
                <w:i w:val="0"/>
                <w:color w:val="101828"/>
                <w:sz w:val="21"/>
                <w:szCs w:val="21"/>
              </w:rPr>
              <w:t>Award each distinct point once. Accept equivalent correct pseudocode and explanations. Credit follow-through where a single earlier error is carried consistently into a later trace, unless that later mark assesses the same error. No GCSE grade boundaries are assigned to this topic test.</w:t>
            </w:r>
            <w:r>
              <w:rPr>
                <w:rFonts w:ascii="Arial" w:cs="Arial" w:eastAsia="Arial" w:hAnsi="Arial"/>
                <w:b w:val="0"/>
                <w:i w:val="0"/>
                <w:color w:val="101828"/>
                <w:sz w:val="21"/>
                <w:szCs w:val="21"/>
              </w:rPr>
            </w:r>
          </w:p>
          <w:p/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1  Computational thinking  [6]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 w:val="0"/>
                <w:i w:val="0"/>
                <w:iCs/>
                <w:color w:val="101828"/>
                <w:sz w:val="21"/>
                <w:szCs w:val="19"/>
              </w:rPr>
              <w:t>1a Keep relevant details (1) and remove unnecessary detail for a purpose (1).</w:t>
              <w:br/>
              <w:t>1b Suitable relevant detail, e.g. borrower ID / item ID / due date (1). Suitable irrelevant detail, e.g. favourite film (1).</w:t>
              <w:br/>
              <w:t>1c Split into smaller sub-problems (1), making the parts easier to develop, understand or test (1).</w:t>
            </w:r>
          </w:p>
          <w:p/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>2  Structure diagram  [4]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 w:val="0"/>
                <w:i w:val="0"/>
                <w:iCs/>
                <w:color w:val="101828"/>
                <w:sz w:val="21"/>
                <w:szCs w:val="19"/>
              </w:rPr>
              <w:t>Whole system above the three named main parts (1). Correct parent-child links (1). Check availability beneath Loans (1). Record loan beneath Loans (1). Accept equivalent appropriate loan sub-problems.</w:t>
            </w:r>
          </w:p>
          <w:p/>
        </w:tc>
      </w:tr>
    </w:tbl>
    <w:p>
      <w:pPr>
        <w:spacing w:after="4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>3  Searching  [6]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 w:val="0"/>
                <w:i w:val="0"/>
                <w:iCs/>
                <w:color w:val="101828"/>
                <w:sz w:val="21"/>
                <w:szCs w:val="19"/>
              </w:rPr>
              <w:t>3a Checks 2,4,6,8,10,12 (1), six comparisons (1).</w:t>
              <w:br/>
              <w:t>3b First midpoint index 3 has value 8 (1). Keep indices 4 to 6 (1). Next midpoint index 5 has value 12, so found (1).</w:t>
              <w:br/>
              <w:t>3c Data must be sorted by the search key (1).</w:t>
            </w:r>
          </w:p>
          <w:p/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>4  Sorting  [10]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 w:val="0"/>
                <w:i w:val="0"/>
                <w:iCs/>
                <w:color w:val="101828"/>
                <w:sz w:val="21"/>
                <w:szCs w:val="19"/>
              </w:rPr>
              <w:t>4a [2,6,5,1] (1), [2,5,6,1] (1), [2,5,1,6] (1). Value 6 is in its final position (1).</w:t>
              <w:br/>
              <w:t>4b Compare 2 and 3, take 2 (1). Compare 8 and 3, take 3 (1). Final [2,3,7,8] (1).</w:t>
              <w:br/>
              <w:t>4c [2,5,4,1] (1), [2,4,5,1] (1), [1,2,4,5] (1).</w:t>
            </w:r>
          </w:p>
          <w:p/>
        </w:tc>
      </w:tr>
    </w:tbl>
    <w:p>
      <w:pPr>
        <w:spacing w:after="40"/>
      </w:pPr>
    </w:p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>5  Create a flowchart  [5]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 w:val="0"/>
                <w:i w:val="0"/>
                <w:iCs/>
                <w:color w:val="101828"/>
                <w:sz w:val="21"/>
                <w:szCs w:val="19"/>
              </w:rPr>
              <w:t>Input age in an input/output symbol (1). Decision age &gt;= 12 in a diamond (1). True and false branches correctly labelled (1). Correct output on each branch in input/output symbols (1). Connected start and end terminals with sensible flow lines (1).</w:t>
            </w:r>
          </w:p>
          <w:p/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>6  Debug an algorithm  [3]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 w:val="0"/>
                <w:i w:val="0"/>
                <w:iCs/>
                <w:color w:val="101828"/>
                <w:sz w:val="21"/>
                <w:szCs w:val="19"/>
              </w:rPr>
              <w:t>6a Logic error (1).</w:t>
              <w:br/>
              <w:t>6b average = (a + b) / 2 (1). Parentheses ensure addition happens before division (1).</w:t>
            </w:r>
          </w:p>
          <w:p/>
        </w:tc>
      </w:tr>
    </w:tbl>
    <w:p>
      <w:pPr>
        <w:spacing w:after="4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>7  Complete a trace table  [6]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 w:val="0"/>
                <w:i w:val="0"/>
                <w:iCs/>
                <w:color w:val="101828"/>
                <w:sz w:val="21"/>
                <w:szCs w:val="19"/>
              </w:rPr>
              <w:t>Initial total 0 (1). Totals after iterations: 1 (1), 3 (1), 6 (1), 10 (1). Final output 10 (1). Accept equivalent trace conventions that clearly distinguish variable state from output.</w:t>
            </w:r>
          </w:p>
          <w:p/>
        </w:tc>
      </w:tr>
    </w:tbl>
    <w:p>
      <w:pPr>
        <w:spacing w:after="40"/>
      </w:pPr>
    </w:p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>Revise360  •  Topic 2.1 Algorithms  •  Original practice assessment</w:t>
    </w:r>
    <w:r>
      <w:rPr>
        <w:rFonts w:ascii="Arial" w:cs="Arial" w:eastAsia="Arial" w:hAnsi="Arial"/>
        <w:color w:val="5A6B85"/>
        <w:sz w:val="16"/>
        <w:szCs w:val="16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Revise360</dc:creator>
  <cp:lastModifiedBy>Un-named</cp:lastModifiedBy>
  <cp:revision>1</cp:revision>
  <dcterms:created xsi:type="dcterms:W3CDTF">2026-09-23T17:44:29.101Z</dcterms:created>
  <dcterms:modified xsi:type="dcterms:W3CDTF">2026-09-23T17:44:29.101Z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