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Complainant in Banking Fraud Case</w:t>
      </w:r>
    </w:p>
    <w:p/>
    <w:p>
      <w:r>
        <w:t>### Introduction</w:t>
      </w:r>
    </w:p>
    <w:p>
      <w:r>
        <w:t>This brief is submitted on behalf of the Complainant in a banking fraud dispute against the Respondent. The dispute revolves around an unauthorized transaction where the Complainant's account was debited with ₹25,000 after sharing the One-Time Password (OTP).</w:t>
      </w:r>
    </w:p>
    <w:p/>
    <w:p>
      <w:r>
        <w:t>### Facts of the Case</w:t>
      </w:r>
    </w:p>
    <w:p>
      <w:r>
        <w:t>1. **OTP Shared**: The Complainant shared the OTP, which was used to carry out an unauthorized transaction.</w:t>
      </w:r>
    </w:p>
    <w:p>
      <w:r>
        <w:t>2. **Unauthorized Debit**: ₹25,000 was deducted from the Complainant's account without their consent.</w:t>
      </w:r>
    </w:p>
    <w:p/>
    <w:p>
      <w:r>
        <w:t>### Relevant Law Sections</w:t>
      </w:r>
    </w:p>
    <w:p>
      <w:r>
        <w:t>- **Transfer of Property Act, 1882, Section 46**: This section is relevant as it pertains to the transfer of property and can be applied in cases where there is a dispute over the transfer of funds.</w:t>
      </w:r>
    </w:p>
    <w:p>
      <w:r>
        <w:t>- **BNSS 2023, Section 531**: This section is applicable as it deals with the legal framework surrounding banking transactions and fraud, providing a basis for the Complainant's claim against the Respondent.</w:t>
      </w:r>
    </w:p>
    <w:p/>
    <w:p>
      <w:r>
        <w:t>### Relief Sought</w:t>
      </w:r>
    </w:p>
    <w:p>
      <w:r>
        <w:t>The Complainant seeks the following relief:</w:t>
      </w:r>
    </w:p>
    <w:p>
      <w:r>
        <w:t>- **Refund of ₹25,000**: The amount that was unauthorizedly deducted from the Complainant's account.</w:t>
      </w:r>
    </w:p>
    <w:p>
      <w:r>
        <w:t>- **Compensation for Banking Fraud**: Additional compensation for the distress, inconvenience, and financial loss suffered due to the banking fraud.</w:t>
      </w:r>
    </w:p>
    <w:p/>
    <w:p>
      <w:r>
        <w:t>### Conclusion</w:t>
      </w:r>
    </w:p>
    <w:p>
      <w:r>
        <w:t>In conclusion, the Complainant has been a victim of banking fraud, with ₹25,000 being deducted from their account without authorization. The law sections cited provide a legal basis for the Complainant's claim. It is respectfully prayed that this Hon'ble Court grant the relief sought by the Complainant and provide justice in this matter.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