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Lawyer's Brief for Criminal Dispute</w:t>
      </w:r>
    </w:p>
    <w:p>
      <w:r>
        <w:t>## Introduction</w:t>
      </w:r>
    </w:p>
    <w:p>
      <w:r>
        <w:t>This brief outlines the key points of a criminal dispute involving the Respondent, with the objective of seeking compensation for damages and registration of an FIR under BNS 2023.</w:t>
      </w:r>
    </w:p>
    <w:p/>
    <w:p>
      <w:r>
        <w:t>## Facts</w:t>
      </w:r>
    </w:p>
    <w:p>
      <w:r>
        <w:t>The facts of the case are as follows:</w:t>
      </w:r>
    </w:p>
    <w:p>
      <w:r>
        <w:t>- The dispute is of a criminal nature.</w:t>
      </w:r>
    </w:p>
    <w:p>
      <w:r>
        <w:t>- There is no complainant listed.</w:t>
      </w:r>
    </w:p>
    <w:p>
      <w:r>
        <w:t>- The respondent is the party against whom the case is being brought.</w:t>
      </w:r>
    </w:p>
    <w:p/>
    <w:p>
      <w:r>
        <w:t>## Applicable Law</w:t>
      </w:r>
    </w:p>
    <w:p>
      <w:r>
        <w:t>The relevant law sections applicable to this case are:</w:t>
      </w:r>
    </w:p>
    <w:p>
      <w:r>
        <w:t>- **BNSS 2023 Section 2**: This section of BNSS 2023 is crucial in understanding the legal framework that governs this dispute.</w:t>
      </w:r>
    </w:p>
    <w:p>
      <w:r>
        <w:t>- **BNS 2023 Section 353**: This section of BNS 2023 provides the legal basis for the relief sought in this case.</w:t>
      </w:r>
    </w:p>
    <w:p/>
    <w:p>
      <w:r>
        <w:t>## Relief Sought</w:t>
      </w:r>
    </w:p>
    <w:p>
      <w:r>
        <w:t>The primary relief sought in this case is:</w:t>
      </w:r>
    </w:p>
    <w:p>
      <w:r>
        <w:t>- **Compensation for Damages**: The respondent should be held liable for the damages incurred.</w:t>
      </w:r>
    </w:p>
    <w:p>
      <w:r>
        <w:t>- **Registration of FIR under BNS 2023**: An FIR should be registered under the provisions of BNS 2023, given the criminal nature of the dispute.</w:t>
      </w:r>
    </w:p>
    <w:p/>
    <w:p>
      <w:r>
        <w:t>## Conclusion</w:t>
      </w:r>
    </w:p>
    <w:p>
      <w:r>
        <w:t>In conclusion, this case hinges on the application of BNSS 2023 Section 2 and BNS 2023 Section 353. The relief sought is grounded in the legal principles outlined by these sections, aiming for justice through compensation and legal action.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