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85699" w14:textId="77777777" w:rsidR="00C652BC" w:rsidRDefault="00C652BC" w:rsidP="00C652BC"/>
    <w:p w14:paraId="03AF0760" w14:textId="77777777" w:rsidR="00C652BC" w:rsidRDefault="00C652BC" w:rsidP="00C652BC"/>
    <w:p w14:paraId="6CBA8E8B" w14:textId="77777777" w:rsidR="00C652BC" w:rsidRDefault="00C652BC" w:rsidP="00C652BC"/>
    <w:p w14:paraId="4BFB4BD4" w14:textId="77777777" w:rsidR="00C652BC" w:rsidRDefault="00C652BC" w:rsidP="00C652BC">
      <w:pPr>
        <w:spacing w:line="480" w:lineRule="auto"/>
        <w:jc w:val="center"/>
      </w:pPr>
      <w:r>
        <w:t>The Pennsylvania State University</w:t>
      </w:r>
    </w:p>
    <w:p w14:paraId="0298DC0F" w14:textId="77777777" w:rsidR="00C652BC" w:rsidRDefault="00C652BC" w:rsidP="00C652BC">
      <w:pPr>
        <w:spacing w:line="480" w:lineRule="auto"/>
        <w:jc w:val="center"/>
      </w:pPr>
      <w:r>
        <w:t>School of International Affairs</w:t>
      </w:r>
    </w:p>
    <w:p w14:paraId="3D3EEF56" w14:textId="77777777" w:rsidR="00C652BC" w:rsidRDefault="00C652BC" w:rsidP="00C652BC"/>
    <w:p w14:paraId="32707F73" w14:textId="77777777" w:rsidR="00C652BC" w:rsidRDefault="00C652BC" w:rsidP="00C652BC"/>
    <w:p w14:paraId="20D63B04" w14:textId="77777777" w:rsidR="00C652BC" w:rsidRDefault="00C652BC" w:rsidP="00C652BC"/>
    <w:p w14:paraId="55A2D2EE" w14:textId="77777777" w:rsidR="00C652BC" w:rsidRDefault="00C652BC" w:rsidP="00C652BC"/>
    <w:p w14:paraId="6282E36E" w14:textId="77777777" w:rsidR="00C652BC" w:rsidRDefault="00C652BC" w:rsidP="00C652BC">
      <w:pPr>
        <w:spacing w:line="480" w:lineRule="auto"/>
        <w:jc w:val="center"/>
        <w:rPr>
          <w:b/>
        </w:rPr>
      </w:pPr>
      <w:r>
        <w:rPr>
          <w:b/>
        </w:rPr>
        <w:t xml:space="preserve">PROPERTY INSTITUTIONS AND CREDIT MARKET ACCESS IN </w:t>
      </w:r>
    </w:p>
    <w:p w14:paraId="525BCD2C" w14:textId="79FAD9DF" w:rsidR="00C652BC" w:rsidRDefault="00C652BC" w:rsidP="00C652BC">
      <w:pPr>
        <w:spacing w:line="480" w:lineRule="auto"/>
        <w:jc w:val="center"/>
        <w:rPr>
          <w:b/>
        </w:rPr>
      </w:pPr>
      <w:r>
        <w:rPr>
          <w:b/>
        </w:rPr>
        <w:t>LATIN AMERICA AND THE CARIB</w:t>
      </w:r>
      <w:r w:rsidR="000514FE">
        <w:rPr>
          <w:b/>
        </w:rPr>
        <w:t>B</w:t>
      </w:r>
      <w:bookmarkStart w:id="0" w:name="_GoBack"/>
      <w:bookmarkEnd w:id="0"/>
      <w:r>
        <w:rPr>
          <w:b/>
        </w:rPr>
        <w:t>EAN</w:t>
      </w:r>
    </w:p>
    <w:p w14:paraId="26DB0580" w14:textId="77777777" w:rsidR="00C652BC" w:rsidRDefault="00C652BC" w:rsidP="00C652BC">
      <w:pPr>
        <w:rPr>
          <w:b/>
        </w:rPr>
      </w:pPr>
    </w:p>
    <w:p w14:paraId="3B6EC449" w14:textId="77777777" w:rsidR="00C652BC" w:rsidRDefault="00C652BC" w:rsidP="00C652BC">
      <w:pPr>
        <w:rPr>
          <w:b/>
        </w:rPr>
      </w:pPr>
    </w:p>
    <w:p w14:paraId="236CF49F" w14:textId="77777777" w:rsidR="00C652BC" w:rsidRDefault="00C652BC" w:rsidP="00C652BC">
      <w:pPr>
        <w:rPr>
          <w:b/>
        </w:rPr>
      </w:pPr>
    </w:p>
    <w:p w14:paraId="25F131E8" w14:textId="77777777" w:rsidR="00C652BC" w:rsidRDefault="00C652BC" w:rsidP="00C652BC">
      <w:pPr>
        <w:spacing w:line="480" w:lineRule="auto"/>
        <w:jc w:val="center"/>
      </w:pPr>
      <w:r>
        <w:t xml:space="preserve">A Thesis in </w:t>
      </w:r>
    </w:p>
    <w:p w14:paraId="31146953" w14:textId="77777777" w:rsidR="00C652BC" w:rsidRDefault="00C652BC" w:rsidP="00C652BC">
      <w:pPr>
        <w:spacing w:line="480" w:lineRule="auto"/>
        <w:jc w:val="center"/>
      </w:pPr>
      <w:r>
        <w:t xml:space="preserve">International Affairs </w:t>
      </w:r>
    </w:p>
    <w:p w14:paraId="77195909" w14:textId="77777777" w:rsidR="00C652BC" w:rsidRDefault="00C652BC" w:rsidP="00C652BC">
      <w:pPr>
        <w:spacing w:line="480" w:lineRule="auto"/>
        <w:jc w:val="center"/>
      </w:pPr>
      <w:r>
        <w:t>by</w:t>
      </w:r>
    </w:p>
    <w:p w14:paraId="22799DD7" w14:textId="77777777" w:rsidR="00C652BC" w:rsidRDefault="00C652BC" w:rsidP="00C652BC">
      <w:pPr>
        <w:spacing w:line="480" w:lineRule="auto"/>
        <w:jc w:val="center"/>
      </w:pPr>
      <w:r>
        <w:t>Sara Ostergren</w:t>
      </w:r>
    </w:p>
    <w:p w14:paraId="2EA9066A" w14:textId="77777777" w:rsidR="00C652BC" w:rsidRDefault="00C652BC" w:rsidP="00C652BC"/>
    <w:p w14:paraId="2567EB06" w14:textId="77777777" w:rsidR="00C652BC" w:rsidRDefault="00C652BC" w:rsidP="00C652BC"/>
    <w:p w14:paraId="1EB008D8" w14:textId="77777777" w:rsidR="00C652BC" w:rsidRDefault="00C652BC" w:rsidP="00C652BC">
      <w:pPr>
        <w:jc w:val="center"/>
      </w:pPr>
      <w:r>
        <w:t>© 2021 Sara Ostergren</w:t>
      </w:r>
    </w:p>
    <w:p w14:paraId="624FFAC4" w14:textId="77777777" w:rsidR="00C652BC" w:rsidRDefault="00C652BC" w:rsidP="00C652BC"/>
    <w:p w14:paraId="3154292A" w14:textId="77777777" w:rsidR="00C652BC" w:rsidRDefault="00C652BC" w:rsidP="00C652BC"/>
    <w:p w14:paraId="04BC02AF" w14:textId="77777777" w:rsidR="00C652BC" w:rsidRDefault="00C652BC" w:rsidP="00C652BC"/>
    <w:p w14:paraId="3BBF9F8F" w14:textId="77777777" w:rsidR="00C652BC" w:rsidRDefault="00C652BC" w:rsidP="00C652BC">
      <w:pPr>
        <w:jc w:val="center"/>
      </w:pPr>
      <w:r>
        <w:t>Submitted in Partial Fulfillment</w:t>
      </w:r>
    </w:p>
    <w:p w14:paraId="4158FC54" w14:textId="77777777" w:rsidR="00C652BC" w:rsidRDefault="00C652BC" w:rsidP="00C652BC">
      <w:pPr>
        <w:jc w:val="center"/>
      </w:pPr>
      <w:r>
        <w:t>Of the Requirements</w:t>
      </w:r>
    </w:p>
    <w:p w14:paraId="0DD4F205" w14:textId="77777777" w:rsidR="00C652BC" w:rsidRDefault="00C652BC" w:rsidP="00C652BC">
      <w:pPr>
        <w:jc w:val="center"/>
      </w:pPr>
      <w:r>
        <w:t xml:space="preserve">for the Degree of </w:t>
      </w:r>
    </w:p>
    <w:p w14:paraId="3D555294" w14:textId="77777777" w:rsidR="00C652BC" w:rsidRDefault="00C652BC" w:rsidP="00C652BC"/>
    <w:p w14:paraId="0D4DCA6A" w14:textId="77777777" w:rsidR="00C652BC" w:rsidRDefault="00C652BC" w:rsidP="00C652BC"/>
    <w:p w14:paraId="7C5B0564" w14:textId="77777777" w:rsidR="00C652BC" w:rsidRDefault="00C652BC" w:rsidP="00C652BC">
      <w:pPr>
        <w:jc w:val="center"/>
      </w:pPr>
      <w:r>
        <w:t>Master of International Affairs</w:t>
      </w:r>
    </w:p>
    <w:p w14:paraId="4AEAD912" w14:textId="77777777" w:rsidR="00C652BC" w:rsidRDefault="00C652BC" w:rsidP="00C652BC">
      <w:pPr>
        <w:jc w:val="center"/>
      </w:pPr>
    </w:p>
    <w:p w14:paraId="2E96583D" w14:textId="77777777" w:rsidR="00C652BC" w:rsidRDefault="00C652BC" w:rsidP="00C652BC">
      <w:pPr>
        <w:jc w:val="center"/>
      </w:pPr>
    </w:p>
    <w:p w14:paraId="58C3E7B0" w14:textId="77777777" w:rsidR="00C652BC" w:rsidRDefault="00C652BC" w:rsidP="00C652BC">
      <w:pPr>
        <w:jc w:val="center"/>
      </w:pPr>
    </w:p>
    <w:p w14:paraId="6E9C285F" w14:textId="6BF6393C" w:rsidR="00C652BC" w:rsidRDefault="00C652BC" w:rsidP="00C652BC">
      <w:pPr>
        <w:jc w:val="center"/>
      </w:pPr>
      <w:r>
        <w:t>August 202</w:t>
      </w:r>
      <w:r w:rsidR="00A62698">
        <w:t>1</w:t>
      </w:r>
    </w:p>
    <w:p w14:paraId="77C5B1C1" w14:textId="77777777" w:rsidR="00D534CC" w:rsidRDefault="00D534CC" w:rsidP="00C652BC">
      <w:pPr>
        <w:jc w:val="center"/>
      </w:pPr>
    </w:p>
    <w:p w14:paraId="76413305" w14:textId="77777777" w:rsidR="00D534CC" w:rsidRDefault="00D534CC" w:rsidP="00C652BC">
      <w:pPr>
        <w:jc w:val="center"/>
      </w:pPr>
    </w:p>
    <w:p w14:paraId="3E4F3509" w14:textId="77777777" w:rsidR="00C652BC" w:rsidRDefault="00C652BC" w:rsidP="00C652BC"/>
    <w:p w14:paraId="7FB27B99" w14:textId="77777777" w:rsidR="00D534CC" w:rsidRPr="006060FA" w:rsidRDefault="00D534CC" w:rsidP="00C652BC"/>
    <w:p w14:paraId="7D3C9AE8" w14:textId="77777777" w:rsidR="00C652BC" w:rsidRDefault="00C652BC" w:rsidP="00C652BC">
      <w:pPr>
        <w:pStyle w:val="BodyText"/>
        <w:ind w:left="0"/>
        <w:rPr>
          <w:rFonts w:eastAsiaTheme="minorHAnsi"/>
        </w:rPr>
      </w:pPr>
    </w:p>
    <w:p w14:paraId="190FC014" w14:textId="77777777" w:rsidR="00B60023" w:rsidRDefault="00B60023" w:rsidP="00C652BC">
      <w:pPr>
        <w:pStyle w:val="BodyText"/>
        <w:ind w:left="0"/>
        <w:rPr>
          <w:rFonts w:eastAsiaTheme="minorHAnsi"/>
        </w:rPr>
      </w:pPr>
    </w:p>
    <w:p w14:paraId="0C48743E" w14:textId="77777777" w:rsidR="00B60023" w:rsidRDefault="00B60023" w:rsidP="00C652BC">
      <w:pPr>
        <w:pStyle w:val="BodyText"/>
        <w:ind w:left="0"/>
        <w:rPr>
          <w:rFonts w:eastAsiaTheme="minorHAnsi"/>
        </w:rPr>
      </w:pPr>
    </w:p>
    <w:p w14:paraId="52A0321C" w14:textId="77777777" w:rsidR="00C652BC" w:rsidRDefault="00C652BC" w:rsidP="00C652BC">
      <w:pPr>
        <w:pStyle w:val="BodyText"/>
        <w:ind w:left="0"/>
        <w:rPr>
          <w:spacing w:val="-2"/>
        </w:rPr>
      </w:pPr>
      <w:r>
        <w:rPr>
          <w:spacing w:val="-1"/>
        </w:rPr>
        <w:t>The</w:t>
      </w:r>
      <w:r>
        <w:rPr>
          <w:spacing w:val="-4"/>
        </w:rPr>
        <w:t xml:space="preserve"> </w:t>
      </w:r>
      <w:r>
        <w:rPr>
          <w:spacing w:val="-2"/>
        </w:rPr>
        <w:t>thesis</w:t>
      </w:r>
      <w:r>
        <w:t xml:space="preserve"> of</w:t>
      </w:r>
      <w:r>
        <w:rPr>
          <w:spacing w:val="-4"/>
        </w:rPr>
        <w:t xml:space="preserve"> </w:t>
      </w:r>
      <w:r>
        <w:t>Sara Ostergren</w:t>
      </w:r>
      <w:r>
        <w:rPr>
          <w:spacing w:val="-1"/>
        </w:rPr>
        <w:t xml:space="preserve"> was</w:t>
      </w:r>
      <w:r>
        <w:t xml:space="preserve"> </w:t>
      </w:r>
      <w:r>
        <w:rPr>
          <w:spacing w:val="-2"/>
        </w:rPr>
        <w:t>reviewed</w:t>
      </w:r>
      <w:r>
        <w:t xml:space="preserve"> </w:t>
      </w:r>
      <w:r>
        <w:rPr>
          <w:spacing w:val="-2"/>
        </w:rPr>
        <w:t>and</w:t>
      </w:r>
      <w:r>
        <w:t xml:space="preserve"> </w:t>
      </w:r>
      <w:r>
        <w:rPr>
          <w:spacing w:val="-2"/>
        </w:rPr>
        <w:t>approved</w:t>
      </w:r>
      <w:r>
        <w:t xml:space="preserve"> </w:t>
      </w:r>
      <w:r>
        <w:rPr>
          <w:spacing w:val="1"/>
        </w:rPr>
        <w:t>by</w:t>
      </w:r>
      <w:r>
        <w:rPr>
          <w:spacing w:val="-15"/>
        </w:rPr>
        <w:t xml:space="preserve"> </w:t>
      </w:r>
      <w:r>
        <w:t>the</w:t>
      </w:r>
      <w:r>
        <w:rPr>
          <w:spacing w:val="-1"/>
        </w:rPr>
        <w:t xml:space="preserve"> </w:t>
      </w:r>
      <w:r>
        <w:rPr>
          <w:spacing w:val="-2"/>
        </w:rPr>
        <w:t>following:</w:t>
      </w:r>
    </w:p>
    <w:p w14:paraId="66AF2FDD" w14:textId="77777777" w:rsidR="00C652BC" w:rsidRDefault="00C652BC" w:rsidP="00C652BC">
      <w:pPr>
        <w:pStyle w:val="BodyText"/>
      </w:pPr>
    </w:p>
    <w:p w14:paraId="69CC2D5D" w14:textId="77777777" w:rsidR="00C652BC" w:rsidRDefault="00C652BC" w:rsidP="00C652BC">
      <w:pPr>
        <w:pStyle w:val="BodyText"/>
      </w:pPr>
    </w:p>
    <w:p w14:paraId="58F54132" w14:textId="77777777" w:rsidR="00C652BC" w:rsidRDefault="00C652BC" w:rsidP="00C652BC">
      <w:pPr>
        <w:pStyle w:val="BodyText"/>
      </w:pPr>
    </w:p>
    <w:p w14:paraId="53D2F108" w14:textId="77777777" w:rsidR="00C652BC" w:rsidRDefault="00C652BC" w:rsidP="00C652BC">
      <w:pPr>
        <w:pStyle w:val="BodyText"/>
      </w:pPr>
      <w:r>
        <w:t>Ele</w:t>
      </w:r>
      <w:r w:rsidR="00B60023">
        <w:t>a</w:t>
      </w:r>
      <w:r>
        <w:t>nor Brown</w:t>
      </w:r>
    </w:p>
    <w:p w14:paraId="5E759FE3" w14:textId="77777777" w:rsidR="00C652BC" w:rsidRDefault="00C652BC" w:rsidP="00C652BC">
      <w:pPr>
        <w:pStyle w:val="BodyText"/>
      </w:pPr>
      <w:r>
        <w:t>Professor of</w:t>
      </w:r>
      <w:r w:rsidR="00D534CC">
        <w:t xml:space="preserve"> </w:t>
      </w:r>
      <w:r w:rsidR="00B60023">
        <w:t>Law and International Affairs</w:t>
      </w:r>
    </w:p>
    <w:p w14:paraId="6183BB74" w14:textId="77777777" w:rsidR="00C652BC" w:rsidRDefault="00C652BC" w:rsidP="00C652BC">
      <w:pPr>
        <w:pStyle w:val="BodyText"/>
      </w:pPr>
      <w:r>
        <w:t>Thesis Adviser</w:t>
      </w:r>
    </w:p>
    <w:p w14:paraId="15BB31E0" w14:textId="77777777" w:rsidR="00C652BC" w:rsidRDefault="00C652BC" w:rsidP="00C652BC">
      <w:pPr>
        <w:pStyle w:val="BodyText"/>
      </w:pPr>
    </w:p>
    <w:p w14:paraId="497524F5" w14:textId="77777777" w:rsidR="00C652BC" w:rsidRDefault="00C652BC" w:rsidP="00C652BC">
      <w:pPr>
        <w:pStyle w:val="BodyText"/>
      </w:pPr>
    </w:p>
    <w:p w14:paraId="2E17A8E4" w14:textId="77777777" w:rsidR="00C652BC" w:rsidRDefault="00B60023" w:rsidP="00C652BC">
      <w:pPr>
        <w:pStyle w:val="BodyText"/>
      </w:pPr>
      <w:r>
        <w:t>Sophia McClennen</w:t>
      </w:r>
    </w:p>
    <w:p w14:paraId="5CB6FD28" w14:textId="77777777" w:rsidR="00C652BC" w:rsidRDefault="00C652BC" w:rsidP="00C652BC">
      <w:pPr>
        <w:pStyle w:val="BodyText"/>
      </w:pPr>
      <w:r>
        <w:t>Professor of</w:t>
      </w:r>
      <w:r w:rsidR="00B60023">
        <w:t xml:space="preserve"> International Affairs and Comparative Literature</w:t>
      </w:r>
    </w:p>
    <w:p w14:paraId="731AC890" w14:textId="77777777" w:rsidR="00B60023" w:rsidRDefault="00B60023" w:rsidP="00C652BC">
      <w:pPr>
        <w:pStyle w:val="BodyText"/>
      </w:pPr>
      <w:r>
        <w:t>Secondary Reader</w:t>
      </w:r>
    </w:p>
    <w:p w14:paraId="658D1EC4" w14:textId="77777777" w:rsidR="00C652BC" w:rsidRDefault="00C652BC" w:rsidP="005028CB">
      <w:pPr>
        <w:spacing w:line="360" w:lineRule="auto"/>
        <w:rPr>
          <w:rFonts w:ascii="Rockwell" w:hAnsi="Rockwell"/>
          <w:color w:val="4472C4" w:themeColor="accent1"/>
        </w:rPr>
      </w:pPr>
    </w:p>
    <w:p w14:paraId="71E2391D" w14:textId="77777777" w:rsidR="00C652BC" w:rsidRDefault="00C652BC" w:rsidP="005028CB">
      <w:pPr>
        <w:spacing w:line="360" w:lineRule="auto"/>
        <w:rPr>
          <w:rFonts w:ascii="Rockwell" w:hAnsi="Rockwell"/>
          <w:color w:val="4472C4" w:themeColor="accent1"/>
        </w:rPr>
      </w:pPr>
    </w:p>
    <w:p w14:paraId="0EB60DAA" w14:textId="77777777" w:rsidR="00C652BC" w:rsidRDefault="00C652BC" w:rsidP="005028CB">
      <w:pPr>
        <w:spacing w:line="360" w:lineRule="auto"/>
        <w:rPr>
          <w:rFonts w:ascii="Rockwell" w:hAnsi="Rockwell"/>
          <w:color w:val="4472C4" w:themeColor="accent1"/>
        </w:rPr>
      </w:pPr>
    </w:p>
    <w:p w14:paraId="7936FD9C" w14:textId="77777777" w:rsidR="00C652BC" w:rsidRDefault="00C652BC" w:rsidP="005028CB">
      <w:pPr>
        <w:spacing w:line="360" w:lineRule="auto"/>
        <w:rPr>
          <w:rFonts w:ascii="Rockwell" w:hAnsi="Rockwell"/>
          <w:color w:val="4472C4" w:themeColor="accent1"/>
        </w:rPr>
      </w:pPr>
    </w:p>
    <w:p w14:paraId="4DAC351E" w14:textId="77777777" w:rsidR="00C652BC" w:rsidRDefault="00C652BC" w:rsidP="005028CB">
      <w:pPr>
        <w:spacing w:line="360" w:lineRule="auto"/>
        <w:rPr>
          <w:rFonts w:ascii="Rockwell" w:hAnsi="Rockwell"/>
          <w:color w:val="4472C4" w:themeColor="accent1"/>
        </w:rPr>
      </w:pPr>
    </w:p>
    <w:p w14:paraId="627EAC05" w14:textId="77777777" w:rsidR="00C652BC" w:rsidRDefault="00C652BC" w:rsidP="005028CB">
      <w:pPr>
        <w:spacing w:line="360" w:lineRule="auto"/>
        <w:rPr>
          <w:rFonts w:ascii="Rockwell" w:hAnsi="Rockwell"/>
          <w:color w:val="4472C4" w:themeColor="accent1"/>
        </w:rPr>
      </w:pPr>
    </w:p>
    <w:p w14:paraId="309A19C7" w14:textId="77777777" w:rsidR="00C652BC" w:rsidRDefault="00C652BC" w:rsidP="005028CB">
      <w:pPr>
        <w:spacing w:line="360" w:lineRule="auto"/>
        <w:rPr>
          <w:rFonts w:ascii="Rockwell" w:hAnsi="Rockwell"/>
          <w:color w:val="4472C4" w:themeColor="accent1"/>
        </w:rPr>
      </w:pPr>
    </w:p>
    <w:p w14:paraId="22DBB898" w14:textId="77777777" w:rsidR="00C652BC" w:rsidRDefault="00C652BC" w:rsidP="005028CB">
      <w:pPr>
        <w:spacing w:line="360" w:lineRule="auto"/>
        <w:rPr>
          <w:rFonts w:ascii="Rockwell" w:hAnsi="Rockwell"/>
          <w:color w:val="4472C4" w:themeColor="accent1"/>
        </w:rPr>
      </w:pPr>
    </w:p>
    <w:p w14:paraId="624555C4" w14:textId="77777777" w:rsidR="00C652BC" w:rsidRDefault="00C652BC" w:rsidP="005028CB">
      <w:pPr>
        <w:spacing w:line="360" w:lineRule="auto"/>
        <w:rPr>
          <w:rFonts w:ascii="Rockwell" w:hAnsi="Rockwell"/>
          <w:color w:val="4472C4" w:themeColor="accent1"/>
        </w:rPr>
      </w:pPr>
    </w:p>
    <w:p w14:paraId="18F82309" w14:textId="77777777" w:rsidR="00C652BC" w:rsidRDefault="00C652BC" w:rsidP="005028CB">
      <w:pPr>
        <w:spacing w:line="360" w:lineRule="auto"/>
        <w:rPr>
          <w:rFonts w:ascii="Rockwell" w:hAnsi="Rockwell"/>
          <w:color w:val="4472C4" w:themeColor="accent1"/>
        </w:rPr>
      </w:pPr>
    </w:p>
    <w:p w14:paraId="0264DA27" w14:textId="77777777" w:rsidR="00C652BC" w:rsidRDefault="00C652BC" w:rsidP="005028CB">
      <w:pPr>
        <w:spacing w:line="360" w:lineRule="auto"/>
        <w:rPr>
          <w:rFonts w:ascii="Rockwell" w:hAnsi="Rockwell"/>
          <w:color w:val="4472C4" w:themeColor="accent1"/>
        </w:rPr>
      </w:pPr>
    </w:p>
    <w:p w14:paraId="7211C163" w14:textId="77777777" w:rsidR="00C652BC" w:rsidRDefault="00C652BC" w:rsidP="005028CB">
      <w:pPr>
        <w:spacing w:line="360" w:lineRule="auto"/>
        <w:rPr>
          <w:rFonts w:ascii="Rockwell" w:hAnsi="Rockwell"/>
          <w:color w:val="4472C4" w:themeColor="accent1"/>
        </w:rPr>
      </w:pPr>
    </w:p>
    <w:p w14:paraId="2E34EE27" w14:textId="77777777" w:rsidR="00C652BC" w:rsidRDefault="00C652BC" w:rsidP="005028CB">
      <w:pPr>
        <w:spacing w:line="360" w:lineRule="auto"/>
        <w:rPr>
          <w:rFonts w:ascii="Rockwell" w:hAnsi="Rockwell"/>
          <w:color w:val="4472C4" w:themeColor="accent1"/>
        </w:rPr>
      </w:pPr>
    </w:p>
    <w:p w14:paraId="3FA10A09" w14:textId="77777777" w:rsidR="00C652BC" w:rsidRDefault="00C652BC" w:rsidP="005028CB">
      <w:pPr>
        <w:spacing w:line="360" w:lineRule="auto"/>
        <w:rPr>
          <w:rFonts w:ascii="Rockwell" w:hAnsi="Rockwell"/>
          <w:color w:val="4472C4" w:themeColor="accent1"/>
        </w:rPr>
      </w:pPr>
    </w:p>
    <w:p w14:paraId="200ADA22" w14:textId="77777777" w:rsidR="00C652BC" w:rsidRDefault="00C652BC" w:rsidP="005028CB">
      <w:pPr>
        <w:spacing w:line="360" w:lineRule="auto"/>
        <w:rPr>
          <w:rFonts w:ascii="Rockwell" w:hAnsi="Rockwell"/>
          <w:color w:val="4472C4" w:themeColor="accent1"/>
        </w:rPr>
      </w:pPr>
    </w:p>
    <w:p w14:paraId="5B5EFC2D" w14:textId="77777777" w:rsidR="00C652BC" w:rsidRDefault="00C652BC" w:rsidP="005028CB">
      <w:pPr>
        <w:spacing w:line="360" w:lineRule="auto"/>
        <w:rPr>
          <w:rFonts w:ascii="Rockwell" w:hAnsi="Rockwell"/>
          <w:color w:val="4472C4" w:themeColor="accent1"/>
        </w:rPr>
      </w:pPr>
    </w:p>
    <w:p w14:paraId="65FD4288" w14:textId="77777777" w:rsidR="00C652BC" w:rsidRDefault="00C652BC" w:rsidP="005028CB">
      <w:pPr>
        <w:spacing w:line="360" w:lineRule="auto"/>
        <w:rPr>
          <w:rFonts w:ascii="Rockwell" w:hAnsi="Rockwell"/>
          <w:color w:val="4472C4" w:themeColor="accent1"/>
        </w:rPr>
      </w:pPr>
    </w:p>
    <w:p w14:paraId="3FEE42BC" w14:textId="77777777" w:rsidR="00C652BC" w:rsidRDefault="00C652BC" w:rsidP="005028CB">
      <w:pPr>
        <w:spacing w:line="360" w:lineRule="auto"/>
        <w:rPr>
          <w:rFonts w:ascii="Rockwell" w:hAnsi="Rockwell"/>
          <w:color w:val="4472C4" w:themeColor="accent1"/>
        </w:rPr>
      </w:pPr>
    </w:p>
    <w:p w14:paraId="3282EC48" w14:textId="77777777" w:rsidR="00D534CC" w:rsidRDefault="00D534CC" w:rsidP="005028CB">
      <w:pPr>
        <w:spacing w:line="360" w:lineRule="auto"/>
        <w:rPr>
          <w:rFonts w:ascii="Rockwell" w:hAnsi="Rockwell"/>
          <w:color w:val="4472C4" w:themeColor="accent1"/>
        </w:rPr>
      </w:pPr>
    </w:p>
    <w:p w14:paraId="63AF52A8" w14:textId="77777777" w:rsidR="00C57614" w:rsidRDefault="00C57614" w:rsidP="005028CB">
      <w:pPr>
        <w:spacing w:line="360" w:lineRule="auto"/>
        <w:rPr>
          <w:rFonts w:ascii="Rockwell" w:hAnsi="Rockwell"/>
          <w:color w:val="4472C4" w:themeColor="accent1"/>
        </w:rPr>
      </w:pPr>
    </w:p>
    <w:p w14:paraId="5802E254" w14:textId="77777777" w:rsidR="00356694" w:rsidRPr="00265470" w:rsidRDefault="00356694" w:rsidP="00356694">
      <w:pPr>
        <w:spacing w:line="360" w:lineRule="auto"/>
        <w:jc w:val="center"/>
        <w:rPr>
          <w:color w:val="000000" w:themeColor="text1"/>
          <w:sz w:val="20"/>
          <w:szCs w:val="20"/>
        </w:rPr>
      </w:pPr>
      <w:r w:rsidRPr="00265470">
        <w:rPr>
          <w:color w:val="000000" w:themeColor="text1"/>
          <w:sz w:val="20"/>
          <w:szCs w:val="20"/>
        </w:rPr>
        <w:t>ii</w:t>
      </w:r>
    </w:p>
    <w:p w14:paraId="01B18E8E" w14:textId="77777777" w:rsidR="00316E23" w:rsidRPr="00316E23" w:rsidRDefault="005028CB" w:rsidP="005028CB">
      <w:pPr>
        <w:spacing w:line="360" w:lineRule="auto"/>
        <w:rPr>
          <w:rFonts w:ascii="Rockwell" w:hAnsi="Rockwell"/>
          <w:color w:val="2F5496" w:themeColor="accent1" w:themeShade="BF"/>
          <w:sz w:val="28"/>
        </w:rPr>
      </w:pPr>
      <w:r w:rsidRPr="00277D06">
        <w:rPr>
          <w:rFonts w:ascii="Rockwell" w:hAnsi="Rockwell"/>
          <w:color w:val="2F5496" w:themeColor="accent1" w:themeShade="BF"/>
          <w:sz w:val="28"/>
        </w:rPr>
        <w:lastRenderedPageBreak/>
        <w:t>Abstract</w:t>
      </w:r>
    </w:p>
    <w:p w14:paraId="5DAB8733" w14:textId="03443C92" w:rsidR="009B61AF" w:rsidRDefault="003F4E92" w:rsidP="004337D9">
      <w:pPr>
        <w:spacing w:line="360" w:lineRule="auto"/>
        <w:ind w:firstLine="720"/>
      </w:pPr>
      <w:r w:rsidRPr="00A07A63">
        <w:t xml:space="preserve">Secure property rights and secure titling institutions are </w:t>
      </w:r>
      <w:r>
        <w:t>understood as</w:t>
      </w:r>
      <w:r w:rsidRPr="00A07A63">
        <w:t xml:space="preserve"> </w:t>
      </w:r>
      <w:r>
        <w:t>having</w:t>
      </w:r>
      <w:r w:rsidRPr="00A07A63">
        <w:t xml:space="preserve"> a positive impact on economic development. This is due to the association between titling and credit market access. Having a title to one’s property, such as land, is vital to the process of economic development as it is what grants the owner legal authority to make use of the land as an economic asset</w:t>
      </w:r>
      <w:r w:rsidR="000671CF">
        <w:t>; i</w:t>
      </w:r>
      <w:r w:rsidRPr="00A07A63">
        <w:t xml:space="preserve">n particular, by using land as collateral in lending agreements. The logic of using land as collateral is that having a property title allows the poor to access credit markets and take out collateral-backed loans, by using their property as a form of security for the repayment of the loan. </w:t>
      </w:r>
      <w:r w:rsidR="008028F5">
        <w:t xml:space="preserve">This is a property-rights approach to development that has been popularized by the Peruvian economist, Hernando de Soto. </w:t>
      </w:r>
      <w:r w:rsidR="007F4C37">
        <w:t>Nonetheless</w:t>
      </w:r>
      <w:r w:rsidRPr="00A07A63">
        <w:t xml:space="preserve">, the evidence on </w:t>
      </w:r>
      <w:r w:rsidR="004337D9">
        <w:t>the</w:t>
      </w:r>
      <w:r w:rsidRPr="00A07A63">
        <w:t xml:space="preserve"> true impact</w:t>
      </w:r>
      <w:r w:rsidR="004337D9">
        <w:t xml:space="preserve"> of land titling</w:t>
      </w:r>
      <w:r w:rsidRPr="00A07A63">
        <w:t xml:space="preserve"> on</w:t>
      </w:r>
      <w:r>
        <w:t xml:space="preserve"> credit market access, and ultimately</w:t>
      </w:r>
      <w:r w:rsidRPr="00A07A63">
        <w:t xml:space="preserve"> economic development</w:t>
      </w:r>
      <w:r>
        <w:t>,</w:t>
      </w:r>
      <w:r w:rsidRPr="00A07A63">
        <w:t xml:space="preserve"> has been historically mixed.</w:t>
      </w:r>
      <w:r w:rsidR="008028F5">
        <w:t xml:space="preserve"> </w:t>
      </w:r>
      <w:r w:rsidR="009B61AF" w:rsidRPr="00CF5912">
        <w:t>Utilizing data on land administration institutions from the World Bank, this paper seeks to offer insights on how to enhance security within property transactions, thereby increasing access to the credit market</w:t>
      </w:r>
      <w:r w:rsidR="008028F5">
        <w:t xml:space="preserve"> in the regional context of Latin America and the Caribbean</w:t>
      </w:r>
      <w:r w:rsidR="009B61AF" w:rsidRPr="00CF5912">
        <w:t xml:space="preserve">. </w:t>
      </w:r>
      <w:r w:rsidR="00BA1B50">
        <w:t>Reflecting on a review of the literature and the past experiences</w:t>
      </w:r>
      <w:r w:rsidR="008028F5">
        <w:t xml:space="preserve"> </w:t>
      </w:r>
      <w:r w:rsidR="00BA1B50">
        <w:t xml:space="preserve">of countries, </w:t>
      </w:r>
      <w:r w:rsidR="009B61AF" w:rsidRPr="00CF5912">
        <w:t xml:space="preserve">this paper </w:t>
      </w:r>
      <w:r w:rsidR="007F4C37">
        <w:t xml:space="preserve">recommends geographic information system (GIS) technology as the policy path for enhancing security. </w:t>
      </w:r>
    </w:p>
    <w:p w14:paraId="186EA9BD" w14:textId="77777777" w:rsidR="00DB71D2" w:rsidRDefault="00DB71D2" w:rsidP="0068345C"/>
    <w:p w14:paraId="687274F3" w14:textId="77777777" w:rsidR="00DB71D2" w:rsidRDefault="00DB71D2" w:rsidP="0068345C"/>
    <w:p w14:paraId="09FD7E73" w14:textId="77777777" w:rsidR="00DB71D2" w:rsidRDefault="00DB71D2" w:rsidP="0068345C"/>
    <w:p w14:paraId="5CE8B208" w14:textId="77777777" w:rsidR="009436F2" w:rsidRDefault="009436F2" w:rsidP="0068345C"/>
    <w:p w14:paraId="6602B5D8" w14:textId="5FFBCED8" w:rsidR="000D022C" w:rsidRDefault="000D022C" w:rsidP="0068345C"/>
    <w:p w14:paraId="5A3B0EFB" w14:textId="26BA9D36" w:rsidR="00BA1B50" w:rsidRDefault="00BA1B50" w:rsidP="0068345C"/>
    <w:p w14:paraId="602DD4EA" w14:textId="594E0CF7" w:rsidR="00BA1B50" w:rsidRDefault="00BA1B50" w:rsidP="0068345C"/>
    <w:p w14:paraId="22545884" w14:textId="18D4924D" w:rsidR="00BA1B50" w:rsidRDefault="00BA1B50" w:rsidP="0068345C"/>
    <w:p w14:paraId="2DFD5F5A" w14:textId="6C3FCF31" w:rsidR="00BA1B50" w:rsidRDefault="00BA1B50" w:rsidP="0068345C"/>
    <w:p w14:paraId="66FC8049" w14:textId="7FD26986" w:rsidR="00BA1B50" w:rsidRDefault="00BA1B50" w:rsidP="0068345C"/>
    <w:p w14:paraId="4627474B" w14:textId="6BE6EDC6" w:rsidR="00BA1B50" w:rsidRDefault="00BA1B50" w:rsidP="0068345C"/>
    <w:p w14:paraId="153CA37E" w14:textId="77777777" w:rsidR="00BA1B50" w:rsidRDefault="00BA1B50" w:rsidP="0068345C"/>
    <w:p w14:paraId="1107109D" w14:textId="77777777" w:rsidR="000D022C" w:rsidRDefault="000D022C" w:rsidP="0068345C"/>
    <w:p w14:paraId="57151526" w14:textId="3AAFED53" w:rsidR="00324B94" w:rsidRDefault="00324B94" w:rsidP="0068345C"/>
    <w:p w14:paraId="006C87B8" w14:textId="5E9F5404" w:rsidR="007F4C37" w:rsidRDefault="007F4C37" w:rsidP="0068345C"/>
    <w:p w14:paraId="216703CF" w14:textId="0809DFCA" w:rsidR="007F4C37" w:rsidRDefault="007F4C37" w:rsidP="0068345C"/>
    <w:p w14:paraId="7DDAF5B6" w14:textId="54114333" w:rsidR="007F4C37" w:rsidRDefault="007F4C37" w:rsidP="0068345C"/>
    <w:p w14:paraId="354BCD93" w14:textId="381A5645" w:rsidR="007F4C37" w:rsidRDefault="007F4C37" w:rsidP="0068345C"/>
    <w:p w14:paraId="4B33CD26" w14:textId="77777777" w:rsidR="000671CF" w:rsidRDefault="000671CF" w:rsidP="0068345C"/>
    <w:p w14:paraId="4FE84134" w14:textId="77777777" w:rsidR="00C652BC" w:rsidRDefault="00C652BC" w:rsidP="0068345C"/>
    <w:p w14:paraId="505A8D82" w14:textId="5F9A56C2" w:rsidR="007F4C37" w:rsidRPr="00265470" w:rsidRDefault="007F4C37" w:rsidP="007F4C37">
      <w:pPr>
        <w:jc w:val="center"/>
        <w:rPr>
          <w:sz w:val="20"/>
          <w:szCs w:val="20"/>
        </w:rPr>
      </w:pPr>
      <w:r>
        <w:rPr>
          <w:sz w:val="20"/>
          <w:szCs w:val="20"/>
        </w:rPr>
        <w:t>i</w:t>
      </w:r>
      <w:r w:rsidR="00C57614" w:rsidRPr="00265470">
        <w:rPr>
          <w:sz w:val="20"/>
          <w:szCs w:val="20"/>
        </w:rPr>
        <w:t>ii</w:t>
      </w:r>
    </w:p>
    <w:sdt>
      <w:sdtPr>
        <w:rPr>
          <w:rFonts w:ascii="Rockwell" w:eastAsia="Times New Roman" w:hAnsi="Rockwell" w:cs="Times New Roman"/>
          <w:b w:val="0"/>
          <w:bCs w:val="0"/>
          <w:color w:val="auto"/>
          <w:sz w:val="24"/>
          <w:szCs w:val="24"/>
        </w:rPr>
        <w:id w:val="474350649"/>
        <w:docPartObj>
          <w:docPartGallery w:val="Table of Contents"/>
          <w:docPartUnique/>
        </w:docPartObj>
      </w:sdtPr>
      <w:sdtEndPr>
        <w:rPr>
          <w:rFonts w:ascii="Times New Roman" w:hAnsi="Times New Roman"/>
          <w:noProof/>
          <w:color w:val="1F3864" w:themeColor="accent1" w:themeShade="80"/>
        </w:rPr>
      </w:sdtEndPr>
      <w:sdtContent>
        <w:p w14:paraId="36D40F0C" w14:textId="77777777" w:rsidR="00C652BC" w:rsidRPr="00277D06" w:rsidRDefault="00C652BC">
          <w:pPr>
            <w:pStyle w:val="TOCHeading"/>
            <w:rPr>
              <w:rFonts w:ascii="Rockwell" w:hAnsi="Rockwell" w:cs="Times New Roman"/>
              <w:b w:val="0"/>
              <w:szCs w:val="24"/>
            </w:rPr>
          </w:pPr>
          <w:r w:rsidRPr="00277D06">
            <w:rPr>
              <w:rFonts w:ascii="Rockwell" w:hAnsi="Rockwell" w:cs="Times New Roman"/>
              <w:b w:val="0"/>
              <w:szCs w:val="24"/>
            </w:rPr>
            <w:t>Table of Contents</w:t>
          </w:r>
        </w:p>
        <w:p w14:paraId="00520100" w14:textId="77777777" w:rsidR="00265470" w:rsidRPr="00277D06" w:rsidRDefault="00265470" w:rsidP="00265470">
          <w:pPr>
            <w:rPr>
              <w:rFonts w:ascii="Rockwell" w:hAnsi="Rockwell"/>
            </w:rPr>
          </w:pPr>
        </w:p>
        <w:p w14:paraId="64FD14F8" w14:textId="77777777" w:rsidR="00265470" w:rsidRPr="00277D06" w:rsidRDefault="00265470" w:rsidP="00265470">
          <w:pPr>
            <w:rPr>
              <w:rFonts w:ascii="Rockwell" w:hAnsi="Rockwell"/>
              <w:b/>
              <w:color w:val="2F5496" w:themeColor="accent1" w:themeShade="BF"/>
            </w:rPr>
          </w:pPr>
          <w:r w:rsidRPr="00277D06">
            <w:rPr>
              <w:rFonts w:ascii="Rockwell" w:hAnsi="Rockwell"/>
              <w:b/>
              <w:color w:val="2F5496" w:themeColor="accent1" w:themeShade="BF"/>
            </w:rPr>
            <w:t>List of Tables…………………………………………………………………………</w:t>
          </w:r>
          <w:r w:rsidR="00AE3FBB" w:rsidRPr="00277D06">
            <w:rPr>
              <w:rFonts w:ascii="Rockwell" w:hAnsi="Rockwell"/>
              <w:b/>
              <w:color w:val="2F5496" w:themeColor="accent1" w:themeShade="BF"/>
            </w:rPr>
            <w:t>.</w:t>
          </w:r>
          <w:r w:rsidRPr="00277D06">
            <w:rPr>
              <w:rFonts w:ascii="Rockwell" w:hAnsi="Rockwell"/>
              <w:b/>
              <w:color w:val="2F5496" w:themeColor="accent1" w:themeShade="BF"/>
            </w:rPr>
            <w:t>……</w:t>
          </w:r>
          <w:r w:rsidR="00260585">
            <w:rPr>
              <w:rFonts w:ascii="Rockwell" w:hAnsi="Rockwell"/>
              <w:b/>
              <w:color w:val="2F5496" w:themeColor="accent1" w:themeShade="BF"/>
            </w:rPr>
            <w:t>.</w:t>
          </w:r>
          <w:r w:rsidR="00AE3FBB" w:rsidRPr="00277D06">
            <w:rPr>
              <w:rFonts w:ascii="Rockwell" w:hAnsi="Rockwell"/>
              <w:b/>
              <w:color w:val="2F5496" w:themeColor="accent1" w:themeShade="BF"/>
            </w:rPr>
            <w:t xml:space="preserve">  </w:t>
          </w:r>
          <w:r w:rsidR="00260585">
            <w:rPr>
              <w:rFonts w:ascii="Rockwell" w:hAnsi="Rockwell"/>
              <w:b/>
              <w:color w:val="2F5496" w:themeColor="accent1" w:themeShade="BF"/>
            </w:rPr>
            <w:t xml:space="preserve"> </w:t>
          </w:r>
          <w:r w:rsidRPr="00277D06">
            <w:rPr>
              <w:rFonts w:ascii="Rockwell" w:hAnsi="Rockwell"/>
              <w:b/>
              <w:color w:val="2F5496" w:themeColor="accent1" w:themeShade="BF"/>
            </w:rPr>
            <w:t>v List of Figures………………………………………………………………………</w:t>
          </w:r>
          <w:r w:rsidR="00AE3FBB" w:rsidRPr="00277D06">
            <w:rPr>
              <w:rFonts w:ascii="Rockwell" w:hAnsi="Rockwell"/>
              <w:b/>
              <w:color w:val="2F5496" w:themeColor="accent1" w:themeShade="BF"/>
            </w:rPr>
            <w:t>..</w:t>
          </w:r>
          <w:r w:rsidRPr="00277D06">
            <w:rPr>
              <w:rFonts w:ascii="Rockwell" w:hAnsi="Rockwell"/>
              <w:b/>
              <w:color w:val="2F5496" w:themeColor="accent1" w:themeShade="BF"/>
            </w:rPr>
            <w:t xml:space="preserve">……. </w:t>
          </w:r>
          <w:r w:rsidR="00260585">
            <w:rPr>
              <w:rFonts w:ascii="Rockwell" w:hAnsi="Rockwell"/>
              <w:b/>
              <w:color w:val="2F5496" w:themeColor="accent1" w:themeShade="BF"/>
            </w:rPr>
            <w:t xml:space="preserve"> </w:t>
          </w:r>
          <w:r w:rsidRPr="00277D06">
            <w:rPr>
              <w:rFonts w:ascii="Rockwell" w:hAnsi="Rockwell"/>
              <w:b/>
              <w:color w:val="2F5496" w:themeColor="accent1" w:themeShade="BF"/>
            </w:rPr>
            <w:t>vi</w:t>
          </w:r>
        </w:p>
        <w:p w14:paraId="5C1A623C" w14:textId="77777777" w:rsidR="00316E23" w:rsidRPr="00277D06" w:rsidRDefault="00316E23" w:rsidP="00316E23">
          <w:pPr>
            <w:rPr>
              <w:rFonts w:ascii="Rockwell" w:hAnsi="Rockwell"/>
            </w:rPr>
          </w:pPr>
        </w:p>
        <w:p w14:paraId="6E36FE51" w14:textId="192C4CFA" w:rsidR="00EB5648" w:rsidRDefault="00C652BC">
          <w:pPr>
            <w:pStyle w:val="TOC1"/>
            <w:rPr>
              <w:rFonts w:asciiTheme="minorHAnsi" w:eastAsiaTheme="minorEastAsia" w:hAnsiTheme="minorHAnsi" w:cstheme="minorBidi"/>
              <w:b w:val="0"/>
              <w:bCs w:val="0"/>
              <w:i w:val="0"/>
              <w:iCs w:val="0"/>
              <w:color w:val="auto"/>
            </w:rPr>
          </w:pPr>
          <w:r w:rsidRPr="00277D06">
            <w:rPr>
              <w:rFonts w:cs="Times New Roman"/>
              <w:color w:val="1F3864" w:themeColor="accent1" w:themeShade="80"/>
            </w:rPr>
            <w:fldChar w:fldCharType="begin"/>
          </w:r>
          <w:r w:rsidRPr="00277D06">
            <w:rPr>
              <w:rFonts w:cs="Times New Roman"/>
              <w:color w:val="1F3864" w:themeColor="accent1" w:themeShade="80"/>
            </w:rPr>
            <w:instrText xml:space="preserve"> TOC \o "1-3" \h \z \u </w:instrText>
          </w:r>
          <w:r w:rsidRPr="00277D06">
            <w:rPr>
              <w:rFonts w:cs="Times New Roman"/>
              <w:color w:val="1F3864" w:themeColor="accent1" w:themeShade="80"/>
            </w:rPr>
            <w:fldChar w:fldCharType="separate"/>
          </w:r>
          <w:hyperlink w:anchor="_Toc78045070" w:history="1">
            <w:r w:rsidR="00EB5648" w:rsidRPr="001F50FF">
              <w:rPr>
                <w:rStyle w:val="Hyperlink"/>
                <w:color w:val="034990" w:themeColor="hyperlink" w:themeShade="BF"/>
              </w:rPr>
              <w:t>1. Introduction</w:t>
            </w:r>
            <w:r w:rsidR="00EB5648">
              <w:rPr>
                <w:webHidden/>
              </w:rPr>
              <w:tab/>
            </w:r>
            <w:r w:rsidR="00EB5648">
              <w:rPr>
                <w:webHidden/>
              </w:rPr>
              <w:fldChar w:fldCharType="begin"/>
            </w:r>
            <w:r w:rsidR="00EB5648">
              <w:rPr>
                <w:webHidden/>
              </w:rPr>
              <w:instrText xml:space="preserve"> PAGEREF _Toc78045070 \h </w:instrText>
            </w:r>
            <w:r w:rsidR="00EB5648">
              <w:rPr>
                <w:webHidden/>
              </w:rPr>
            </w:r>
            <w:r w:rsidR="00EB5648">
              <w:rPr>
                <w:webHidden/>
              </w:rPr>
              <w:fldChar w:fldCharType="separate"/>
            </w:r>
            <w:r w:rsidR="00EB5648">
              <w:rPr>
                <w:webHidden/>
              </w:rPr>
              <w:t>1</w:t>
            </w:r>
            <w:r w:rsidR="00EB5648">
              <w:rPr>
                <w:webHidden/>
              </w:rPr>
              <w:fldChar w:fldCharType="end"/>
            </w:r>
          </w:hyperlink>
        </w:p>
        <w:p w14:paraId="4EC7528D" w14:textId="0F715990" w:rsidR="00EB5648" w:rsidRDefault="00C141E0">
          <w:pPr>
            <w:pStyle w:val="TOC1"/>
            <w:rPr>
              <w:rFonts w:asciiTheme="minorHAnsi" w:eastAsiaTheme="minorEastAsia" w:hAnsiTheme="minorHAnsi" w:cstheme="minorBidi"/>
              <w:b w:val="0"/>
              <w:bCs w:val="0"/>
              <w:i w:val="0"/>
              <w:iCs w:val="0"/>
              <w:color w:val="auto"/>
            </w:rPr>
          </w:pPr>
          <w:hyperlink w:anchor="_Toc78045071" w:history="1">
            <w:r w:rsidR="00EB5648" w:rsidRPr="001F50FF">
              <w:rPr>
                <w:rStyle w:val="Hyperlink"/>
                <w:color w:val="034990" w:themeColor="hyperlink" w:themeShade="BF"/>
              </w:rPr>
              <w:t>2. de Soto’s Solution</w:t>
            </w:r>
            <w:r w:rsidR="00EB5648">
              <w:rPr>
                <w:webHidden/>
              </w:rPr>
              <w:tab/>
            </w:r>
            <w:r w:rsidR="00EB5648">
              <w:rPr>
                <w:webHidden/>
              </w:rPr>
              <w:fldChar w:fldCharType="begin"/>
            </w:r>
            <w:r w:rsidR="00EB5648">
              <w:rPr>
                <w:webHidden/>
              </w:rPr>
              <w:instrText xml:space="preserve"> PAGEREF _Toc78045071 \h </w:instrText>
            </w:r>
            <w:r w:rsidR="00EB5648">
              <w:rPr>
                <w:webHidden/>
              </w:rPr>
            </w:r>
            <w:r w:rsidR="00EB5648">
              <w:rPr>
                <w:webHidden/>
              </w:rPr>
              <w:fldChar w:fldCharType="separate"/>
            </w:r>
            <w:r w:rsidR="00EB5648">
              <w:rPr>
                <w:webHidden/>
              </w:rPr>
              <w:t>4</w:t>
            </w:r>
            <w:r w:rsidR="00EB5648">
              <w:rPr>
                <w:webHidden/>
              </w:rPr>
              <w:fldChar w:fldCharType="end"/>
            </w:r>
          </w:hyperlink>
        </w:p>
        <w:p w14:paraId="4FB6BF11" w14:textId="1D361BF8" w:rsidR="00EB5648" w:rsidRDefault="00C141E0">
          <w:pPr>
            <w:pStyle w:val="TOC2"/>
            <w:rPr>
              <w:rFonts w:asciiTheme="minorHAnsi" w:eastAsiaTheme="minorEastAsia" w:hAnsiTheme="minorHAnsi" w:cstheme="minorBidi"/>
              <w:bCs w:val="0"/>
              <w:color w:val="auto"/>
              <w:sz w:val="24"/>
              <w:szCs w:val="24"/>
            </w:rPr>
          </w:pPr>
          <w:hyperlink w:anchor="_Toc78045072" w:history="1">
            <w:r w:rsidR="00EB5648" w:rsidRPr="001F50FF">
              <w:rPr>
                <w:rStyle w:val="Hyperlink"/>
                <w:color w:val="034990" w:themeColor="hyperlink" w:themeShade="BF"/>
              </w:rPr>
              <w:t>2.1 Influence of de Soto</w:t>
            </w:r>
            <w:r w:rsidR="00EB5648">
              <w:rPr>
                <w:webHidden/>
              </w:rPr>
              <w:tab/>
            </w:r>
            <w:r w:rsidR="00EB5648">
              <w:rPr>
                <w:webHidden/>
              </w:rPr>
              <w:fldChar w:fldCharType="begin"/>
            </w:r>
            <w:r w:rsidR="00EB5648">
              <w:rPr>
                <w:webHidden/>
              </w:rPr>
              <w:instrText xml:space="preserve"> PAGEREF _Toc78045072 \h </w:instrText>
            </w:r>
            <w:r w:rsidR="00EB5648">
              <w:rPr>
                <w:webHidden/>
              </w:rPr>
            </w:r>
            <w:r w:rsidR="00EB5648">
              <w:rPr>
                <w:webHidden/>
              </w:rPr>
              <w:fldChar w:fldCharType="separate"/>
            </w:r>
            <w:r w:rsidR="00EB5648">
              <w:rPr>
                <w:webHidden/>
              </w:rPr>
              <w:t>4</w:t>
            </w:r>
            <w:r w:rsidR="00EB5648">
              <w:rPr>
                <w:webHidden/>
              </w:rPr>
              <w:fldChar w:fldCharType="end"/>
            </w:r>
          </w:hyperlink>
        </w:p>
        <w:p w14:paraId="30CCD2D5" w14:textId="39ED6235" w:rsidR="00EB5648" w:rsidRDefault="00C141E0">
          <w:pPr>
            <w:pStyle w:val="TOC2"/>
            <w:rPr>
              <w:rFonts w:asciiTheme="minorHAnsi" w:eastAsiaTheme="minorEastAsia" w:hAnsiTheme="minorHAnsi" w:cstheme="minorBidi"/>
              <w:bCs w:val="0"/>
              <w:color w:val="auto"/>
              <w:sz w:val="24"/>
              <w:szCs w:val="24"/>
            </w:rPr>
          </w:pPr>
          <w:hyperlink w:anchor="_Toc78045073" w:history="1">
            <w:r w:rsidR="00EB5648" w:rsidRPr="001F50FF">
              <w:rPr>
                <w:rStyle w:val="Hyperlink"/>
                <w:color w:val="034990" w:themeColor="hyperlink" w:themeShade="BF"/>
                <w:shd w:val="clear" w:color="auto" w:fill="FFFFFF"/>
              </w:rPr>
              <w:t>2.2 Critique of de Soto</w:t>
            </w:r>
            <w:r w:rsidR="00EB5648">
              <w:rPr>
                <w:webHidden/>
              </w:rPr>
              <w:tab/>
            </w:r>
            <w:r w:rsidR="00EB5648">
              <w:rPr>
                <w:webHidden/>
              </w:rPr>
              <w:fldChar w:fldCharType="begin"/>
            </w:r>
            <w:r w:rsidR="00EB5648">
              <w:rPr>
                <w:webHidden/>
              </w:rPr>
              <w:instrText xml:space="preserve"> PAGEREF _Toc78045073 \h </w:instrText>
            </w:r>
            <w:r w:rsidR="00EB5648">
              <w:rPr>
                <w:webHidden/>
              </w:rPr>
            </w:r>
            <w:r w:rsidR="00EB5648">
              <w:rPr>
                <w:webHidden/>
              </w:rPr>
              <w:fldChar w:fldCharType="separate"/>
            </w:r>
            <w:r w:rsidR="00EB5648">
              <w:rPr>
                <w:webHidden/>
              </w:rPr>
              <w:t>6</w:t>
            </w:r>
            <w:r w:rsidR="00EB5648">
              <w:rPr>
                <w:webHidden/>
              </w:rPr>
              <w:fldChar w:fldCharType="end"/>
            </w:r>
          </w:hyperlink>
        </w:p>
        <w:p w14:paraId="3CC0FF2F" w14:textId="6F8F145E" w:rsidR="00EB5648" w:rsidRDefault="00C141E0">
          <w:pPr>
            <w:pStyle w:val="TOC1"/>
            <w:rPr>
              <w:rFonts w:asciiTheme="minorHAnsi" w:eastAsiaTheme="minorEastAsia" w:hAnsiTheme="minorHAnsi" w:cstheme="minorBidi"/>
              <w:b w:val="0"/>
              <w:bCs w:val="0"/>
              <w:i w:val="0"/>
              <w:iCs w:val="0"/>
              <w:color w:val="auto"/>
            </w:rPr>
          </w:pPr>
          <w:hyperlink w:anchor="_Toc78045074" w:history="1">
            <w:r w:rsidR="00EB5648" w:rsidRPr="001F50FF">
              <w:rPr>
                <w:rStyle w:val="Hyperlink"/>
                <w:color w:val="034990" w:themeColor="hyperlink" w:themeShade="BF"/>
              </w:rPr>
              <w:t>3. Securitization for Collateralization</w:t>
            </w:r>
            <w:r w:rsidR="00EB5648">
              <w:rPr>
                <w:webHidden/>
              </w:rPr>
              <w:tab/>
            </w:r>
            <w:r w:rsidR="00EB5648">
              <w:rPr>
                <w:webHidden/>
              </w:rPr>
              <w:fldChar w:fldCharType="begin"/>
            </w:r>
            <w:r w:rsidR="00EB5648">
              <w:rPr>
                <w:webHidden/>
              </w:rPr>
              <w:instrText xml:space="preserve"> PAGEREF _Toc78045074 \h </w:instrText>
            </w:r>
            <w:r w:rsidR="00EB5648">
              <w:rPr>
                <w:webHidden/>
              </w:rPr>
            </w:r>
            <w:r w:rsidR="00EB5648">
              <w:rPr>
                <w:webHidden/>
              </w:rPr>
              <w:fldChar w:fldCharType="separate"/>
            </w:r>
            <w:r w:rsidR="00EB5648">
              <w:rPr>
                <w:webHidden/>
              </w:rPr>
              <w:t>7</w:t>
            </w:r>
            <w:r w:rsidR="00EB5648">
              <w:rPr>
                <w:webHidden/>
              </w:rPr>
              <w:fldChar w:fldCharType="end"/>
            </w:r>
          </w:hyperlink>
        </w:p>
        <w:p w14:paraId="530A84B1" w14:textId="74CA59D3" w:rsidR="00EB5648" w:rsidRDefault="00C141E0">
          <w:pPr>
            <w:pStyle w:val="TOC1"/>
            <w:rPr>
              <w:rFonts w:asciiTheme="minorHAnsi" w:eastAsiaTheme="minorEastAsia" w:hAnsiTheme="minorHAnsi" w:cstheme="minorBidi"/>
              <w:b w:val="0"/>
              <w:bCs w:val="0"/>
              <w:i w:val="0"/>
              <w:iCs w:val="0"/>
              <w:color w:val="auto"/>
            </w:rPr>
          </w:pPr>
          <w:hyperlink w:anchor="_Toc78045075" w:history="1">
            <w:r w:rsidR="00EB5648" w:rsidRPr="001F50FF">
              <w:rPr>
                <w:rStyle w:val="Hyperlink"/>
                <w:color w:val="034990" w:themeColor="hyperlink" w:themeShade="BF"/>
              </w:rPr>
              <w:t>4. Methodology</w:t>
            </w:r>
            <w:r w:rsidR="00EB5648">
              <w:rPr>
                <w:webHidden/>
              </w:rPr>
              <w:tab/>
            </w:r>
            <w:r w:rsidR="00EB5648">
              <w:rPr>
                <w:webHidden/>
              </w:rPr>
              <w:fldChar w:fldCharType="begin"/>
            </w:r>
            <w:r w:rsidR="00EB5648">
              <w:rPr>
                <w:webHidden/>
              </w:rPr>
              <w:instrText xml:space="preserve"> PAGEREF _Toc78045075 \h </w:instrText>
            </w:r>
            <w:r w:rsidR="00EB5648">
              <w:rPr>
                <w:webHidden/>
              </w:rPr>
            </w:r>
            <w:r w:rsidR="00EB5648">
              <w:rPr>
                <w:webHidden/>
              </w:rPr>
              <w:fldChar w:fldCharType="separate"/>
            </w:r>
            <w:r w:rsidR="00EB5648">
              <w:rPr>
                <w:webHidden/>
              </w:rPr>
              <w:t>8</w:t>
            </w:r>
            <w:r w:rsidR="00EB5648">
              <w:rPr>
                <w:webHidden/>
              </w:rPr>
              <w:fldChar w:fldCharType="end"/>
            </w:r>
          </w:hyperlink>
        </w:p>
        <w:p w14:paraId="5591533D" w14:textId="2A0236A8" w:rsidR="00EB5648" w:rsidRDefault="00C141E0">
          <w:pPr>
            <w:pStyle w:val="TOC2"/>
            <w:rPr>
              <w:rFonts w:asciiTheme="minorHAnsi" w:eastAsiaTheme="minorEastAsia" w:hAnsiTheme="minorHAnsi" w:cstheme="minorBidi"/>
              <w:bCs w:val="0"/>
              <w:color w:val="auto"/>
              <w:sz w:val="24"/>
              <w:szCs w:val="24"/>
            </w:rPr>
          </w:pPr>
          <w:hyperlink w:anchor="_Toc78045076" w:history="1">
            <w:r w:rsidR="00EB5648" w:rsidRPr="001F50FF">
              <w:rPr>
                <w:rStyle w:val="Hyperlink"/>
                <w:rFonts w:cs="Times New Roman"/>
                <w:color w:val="034990" w:themeColor="hyperlink" w:themeShade="BF"/>
              </w:rPr>
              <w:t>4.1 Model</w:t>
            </w:r>
            <w:r w:rsidR="00EB5648">
              <w:rPr>
                <w:webHidden/>
              </w:rPr>
              <w:tab/>
            </w:r>
            <w:r w:rsidR="00EB5648">
              <w:rPr>
                <w:webHidden/>
              </w:rPr>
              <w:fldChar w:fldCharType="begin"/>
            </w:r>
            <w:r w:rsidR="00EB5648">
              <w:rPr>
                <w:webHidden/>
              </w:rPr>
              <w:instrText xml:space="preserve"> PAGEREF _Toc78045076 \h </w:instrText>
            </w:r>
            <w:r w:rsidR="00EB5648">
              <w:rPr>
                <w:webHidden/>
              </w:rPr>
            </w:r>
            <w:r w:rsidR="00EB5648">
              <w:rPr>
                <w:webHidden/>
              </w:rPr>
              <w:fldChar w:fldCharType="separate"/>
            </w:r>
            <w:r w:rsidR="00EB5648">
              <w:rPr>
                <w:webHidden/>
              </w:rPr>
              <w:t>8</w:t>
            </w:r>
            <w:r w:rsidR="00EB5648">
              <w:rPr>
                <w:webHidden/>
              </w:rPr>
              <w:fldChar w:fldCharType="end"/>
            </w:r>
          </w:hyperlink>
        </w:p>
        <w:p w14:paraId="43333C4D" w14:textId="2C5993D8" w:rsidR="00EB5648" w:rsidRDefault="00C141E0">
          <w:pPr>
            <w:pStyle w:val="TOC3"/>
            <w:rPr>
              <w:rFonts w:asciiTheme="minorHAnsi" w:eastAsiaTheme="minorEastAsia" w:hAnsiTheme="minorHAnsi" w:cstheme="minorBidi"/>
              <w:b w:val="0"/>
              <w:i w:val="0"/>
              <w:color w:val="auto"/>
              <w:sz w:val="24"/>
              <w:szCs w:val="24"/>
            </w:rPr>
          </w:pPr>
          <w:hyperlink w:anchor="_Toc78045077" w:history="1">
            <w:r w:rsidR="00EB5648" w:rsidRPr="001F50FF">
              <w:rPr>
                <w:rStyle w:val="Hyperlink"/>
              </w:rPr>
              <w:t>Figure 1. Regression Model</w:t>
            </w:r>
            <w:r w:rsidR="00EB5648">
              <w:rPr>
                <w:webHidden/>
              </w:rPr>
              <w:tab/>
            </w:r>
            <w:r w:rsidR="00EB5648">
              <w:rPr>
                <w:webHidden/>
              </w:rPr>
              <w:fldChar w:fldCharType="begin"/>
            </w:r>
            <w:r w:rsidR="00EB5648">
              <w:rPr>
                <w:webHidden/>
              </w:rPr>
              <w:instrText xml:space="preserve"> PAGEREF _Toc78045077 \h </w:instrText>
            </w:r>
            <w:r w:rsidR="00EB5648">
              <w:rPr>
                <w:webHidden/>
              </w:rPr>
            </w:r>
            <w:r w:rsidR="00EB5648">
              <w:rPr>
                <w:webHidden/>
              </w:rPr>
              <w:fldChar w:fldCharType="separate"/>
            </w:r>
            <w:r w:rsidR="00EB5648">
              <w:rPr>
                <w:webHidden/>
              </w:rPr>
              <w:t>9</w:t>
            </w:r>
            <w:r w:rsidR="00EB5648">
              <w:rPr>
                <w:webHidden/>
              </w:rPr>
              <w:fldChar w:fldCharType="end"/>
            </w:r>
          </w:hyperlink>
        </w:p>
        <w:p w14:paraId="1F9D3A74" w14:textId="73B9E9E0" w:rsidR="00EB5648" w:rsidRDefault="00C141E0">
          <w:pPr>
            <w:pStyle w:val="TOC3"/>
            <w:rPr>
              <w:rFonts w:asciiTheme="minorHAnsi" w:eastAsiaTheme="minorEastAsia" w:hAnsiTheme="minorHAnsi" w:cstheme="minorBidi"/>
              <w:b w:val="0"/>
              <w:i w:val="0"/>
              <w:color w:val="auto"/>
              <w:sz w:val="24"/>
              <w:szCs w:val="24"/>
            </w:rPr>
          </w:pPr>
          <w:hyperlink w:anchor="_Toc78045078" w:history="1">
            <w:r w:rsidR="00EB5648" w:rsidRPr="001F50FF">
              <w:rPr>
                <w:rStyle w:val="Hyperlink"/>
              </w:rPr>
              <w:t>Figure 2. Hypothesis Test</w:t>
            </w:r>
            <w:r w:rsidR="00EB5648">
              <w:rPr>
                <w:webHidden/>
              </w:rPr>
              <w:tab/>
            </w:r>
            <w:r w:rsidR="00EB5648">
              <w:rPr>
                <w:webHidden/>
              </w:rPr>
              <w:fldChar w:fldCharType="begin"/>
            </w:r>
            <w:r w:rsidR="00EB5648">
              <w:rPr>
                <w:webHidden/>
              </w:rPr>
              <w:instrText xml:space="preserve"> PAGEREF _Toc78045078 \h </w:instrText>
            </w:r>
            <w:r w:rsidR="00EB5648">
              <w:rPr>
                <w:webHidden/>
              </w:rPr>
            </w:r>
            <w:r w:rsidR="00EB5648">
              <w:rPr>
                <w:webHidden/>
              </w:rPr>
              <w:fldChar w:fldCharType="separate"/>
            </w:r>
            <w:r w:rsidR="00EB5648">
              <w:rPr>
                <w:webHidden/>
              </w:rPr>
              <w:t>9</w:t>
            </w:r>
            <w:r w:rsidR="00EB5648">
              <w:rPr>
                <w:webHidden/>
              </w:rPr>
              <w:fldChar w:fldCharType="end"/>
            </w:r>
          </w:hyperlink>
        </w:p>
        <w:p w14:paraId="6DD83DDE" w14:textId="06000E3E" w:rsidR="00EB5648" w:rsidRDefault="00C141E0">
          <w:pPr>
            <w:pStyle w:val="TOC2"/>
            <w:rPr>
              <w:rFonts w:asciiTheme="minorHAnsi" w:eastAsiaTheme="minorEastAsia" w:hAnsiTheme="minorHAnsi" w:cstheme="minorBidi"/>
              <w:bCs w:val="0"/>
              <w:color w:val="auto"/>
              <w:sz w:val="24"/>
              <w:szCs w:val="24"/>
            </w:rPr>
          </w:pPr>
          <w:hyperlink w:anchor="_Toc78045079" w:history="1">
            <w:r w:rsidR="00EB5648" w:rsidRPr="001F50FF">
              <w:rPr>
                <w:rStyle w:val="Hyperlink"/>
                <w:color w:val="034990" w:themeColor="hyperlink" w:themeShade="BF"/>
              </w:rPr>
              <w:t>4.2 Source of Data</w:t>
            </w:r>
            <w:r w:rsidR="00EB5648">
              <w:rPr>
                <w:webHidden/>
              </w:rPr>
              <w:tab/>
            </w:r>
            <w:r w:rsidR="00EB5648">
              <w:rPr>
                <w:webHidden/>
              </w:rPr>
              <w:fldChar w:fldCharType="begin"/>
            </w:r>
            <w:r w:rsidR="00EB5648">
              <w:rPr>
                <w:webHidden/>
              </w:rPr>
              <w:instrText xml:space="preserve"> PAGEREF _Toc78045079 \h </w:instrText>
            </w:r>
            <w:r w:rsidR="00EB5648">
              <w:rPr>
                <w:webHidden/>
              </w:rPr>
            </w:r>
            <w:r w:rsidR="00EB5648">
              <w:rPr>
                <w:webHidden/>
              </w:rPr>
              <w:fldChar w:fldCharType="separate"/>
            </w:r>
            <w:r w:rsidR="00EB5648">
              <w:rPr>
                <w:webHidden/>
              </w:rPr>
              <w:t>10</w:t>
            </w:r>
            <w:r w:rsidR="00EB5648">
              <w:rPr>
                <w:webHidden/>
              </w:rPr>
              <w:fldChar w:fldCharType="end"/>
            </w:r>
          </w:hyperlink>
        </w:p>
        <w:p w14:paraId="1BCA63AA" w14:textId="7422050D" w:rsidR="00EB5648" w:rsidRDefault="00C141E0">
          <w:pPr>
            <w:pStyle w:val="TOC2"/>
            <w:rPr>
              <w:rFonts w:asciiTheme="minorHAnsi" w:eastAsiaTheme="minorEastAsia" w:hAnsiTheme="minorHAnsi" w:cstheme="minorBidi"/>
              <w:bCs w:val="0"/>
              <w:color w:val="auto"/>
              <w:sz w:val="24"/>
              <w:szCs w:val="24"/>
            </w:rPr>
          </w:pPr>
          <w:hyperlink w:anchor="_Toc78045080" w:history="1">
            <w:r w:rsidR="00EB5648" w:rsidRPr="001F50FF">
              <w:rPr>
                <w:rStyle w:val="Hyperlink"/>
                <w:color w:val="034990" w:themeColor="hyperlink" w:themeShade="BF"/>
              </w:rPr>
              <w:t>4.3 Dependent Variable</w:t>
            </w:r>
            <w:r w:rsidR="00EB5648">
              <w:rPr>
                <w:webHidden/>
              </w:rPr>
              <w:tab/>
            </w:r>
            <w:r w:rsidR="00EB5648">
              <w:rPr>
                <w:webHidden/>
              </w:rPr>
              <w:fldChar w:fldCharType="begin"/>
            </w:r>
            <w:r w:rsidR="00EB5648">
              <w:rPr>
                <w:webHidden/>
              </w:rPr>
              <w:instrText xml:space="preserve"> PAGEREF _Toc78045080 \h </w:instrText>
            </w:r>
            <w:r w:rsidR="00EB5648">
              <w:rPr>
                <w:webHidden/>
              </w:rPr>
            </w:r>
            <w:r w:rsidR="00EB5648">
              <w:rPr>
                <w:webHidden/>
              </w:rPr>
              <w:fldChar w:fldCharType="separate"/>
            </w:r>
            <w:r w:rsidR="00EB5648">
              <w:rPr>
                <w:webHidden/>
              </w:rPr>
              <w:t>12</w:t>
            </w:r>
            <w:r w:rsidR="00EB5648">
              <w:rPr>
                <w:webHidden/>
              </w:rPr>
              <w:fldChar w:fldCharType="end"/>
            </w:r>
          </w:hyperlink>
        </w:p>
        <w:p w14:paraId="3E5E2788" w14:textId="2AC5399E" w:rsidR="00EB5648" w:rsidRDefault="00C141E0">
          <w:pPr>
            <w:pStyle w:val="TOC3"/>
            <w:rPr>
              <w:rFonts w:asciiTheme="minorHAnsi" w:eastAsiaTheme="minorEastAsia" w:hAnsiTheme="minorHAnsi" w:cstheme="minorBidi"/>
              <w:b w:val="0"/>
              <w:i w:val="0"/>
              <w:color w:val="auto"/>
              <w:sz w:val="24"/>
              <w:szCs w:val="24"/>
            </w:rPr>
          </w:pPr>
          <w:hyperlink w:anchor="_Toc78045081" w:history="1">
            <w:r w:rsidR="00EB5648" w:rsidRPr="001F50FF">
              <w:rPr>
                <w:rStyle w:val="Hyperlink"/>
              </w:rPr>
              <w:t>(Y) Public Credit Registry Coverage (% of adults)</w:t>
            </w:r>
            <w:r w:rsidR="00EB5648">
              <w:rPr>
                <w:webHidden/>
              </w:rPr>
              <w:tab/>
            </w:r>
            <w:r w:rsidR="00EB5648">
              <w:rPr>
                <w:webHidden/>
              </w:rPr>
              <w:fldChar w:fldCharType="begin"/>
            </w:r>
            <w:r w:rsidR="00EB5648">
              <w:rPr>
                <w:webHidden/>
              </w:rPr>
              <w:instrText xml:space="preserve"> PAGEREF _Toc78045081 \h </w:instrText>
            </w:r>
            <w:r w:rsidR="00EB5648">
              <w:rPr>
                <w:webHidden/>
              </w:rPr>
            </w:r>
            <w:r w:rsidR="00EB5648">
              <w:rPr>
                <w:webHidden/>
              </w:rPr>
              <w:fldChar w:fldCharType="separate"/>
            </w:r>
            <w:r w:rsidR="00EB5648">
              <w:rPr>
                <w:webHidden/>
              </w:rPr>
              <w:t>12</w:t>
            </w:r>
            <w:r w:rsidR="00EB5648">
              <w:rPr>
                <w:webHidden/>
              </w:rPr>
              <w:fldChar w:fldCharType="end"/>
            </w:r>
          </w:hyperlink>
        </w:p>
        <w:p w14:paraId="3D1F5DC7" w14:textId="7A833C00" w:rsidR="00EB5648" w:rsidRDefault="00C141E0">
          <w:pPr>
            <w:pStyle w:val="TOC2"/>
            <w:rPr>
              <w:rFonts w:asciiTheme="minorHAnsi" w:eastAsiaTheme="minorEastAsia" w:hAnsiTheme="minorHAnsi" w:cstheme="minorBidi"/>
              <w:bCs w:val="0"/>
              <w:color w:val="auto"/>
              <w:sz w:val="24"/>
              <w:szCs w:val="24"/>
            </w:rPr>
          </w:pPr>
          <w:hyperlink w:anchor="_Toc78045082" w:history="1">
            <w:r w:rsidR="00EB5648" w:rsidRPr="001F50FF">
              <w:rPr>
                <w:rStyle w:val="Hyperlink"/>
                <w:color w:val="034990" w:themeColor="hyperlink" w:themeShade="BF"/>
              </w:rPr>
              <w:t>4.4 Independent Variables</w:t>
            </w:r>
            <w:r w:rsidR="00EB5648">
              <w:rPr>
                <w:webHidden/>
              </w:rPr>
              <w:tab/>
            </w:r>
            <w:r w:rsidR="00EB5648">
              <w:rPr>
                <w:webHidden/>
              </w:rPr>
              <w:fldChar w:fldCharType="begin"/>
            </w:r>
            <w:r w:rsidR="00EB5648">
              <w:rPr>
                <w:webHidden/>
              </w:rPr>
              <w:instrText xml:space="preserve"> PAGEREF _Toc78045082 \h </w:instrText>
            </w:r>
            <w:r w:rsidR="00EB5648">
              <w:rPr>
                <w:webHidden/>
              </w:rPr>
            </w:r>
            <w:r w:rsidR="00EB5648">
              <w:rPr>
                <w:webHidden/>
              </w:rPr>
              <w:fldChar w:fldCharType="separate"/>
            </w:r>
            <w:r w:rsidR="00EB5648">
              <w:rPr>
                <w:webHidden/>
              </w:rPr>
              <w:t>12</w:t>
            </w:r>
            <w:r w:rsidR="00EB5648">
              <w:rPr>
                <w:webHidden/>
              </w:rPr>
              <w:fldChar w:fldCharType="end"/>
            </w:r>
          </w:hyperlink>
        </w:p>
        <w:p w14:paraId="775D7F2B" w14:textId="168486E6" w:rsidR="00EB5648" w:rsidRDefault="00C141E0">
          <w:pPr>
            <w:pStyle w:val="TOC3"/>
            <w:rPr>
              <w:rFonts w:asciiTheme="minorHAnsi" w:eastAsiaTheme="minorEastAsia" w:hAnsiTheme="minorHAnsi" w:cstheme="minorBidi"/>
              <w:b w:val="0"/>
              <w:i w:val="0"/>
              <w:color w:val="auto"/>
              <w:sz w:val="24"/>
              <w:szCs w:val="24"/>
            </w:rPr>
          </w:pPr>
          <w:hyperlink w:anchor="_Toc78045083" w:history="1">
            <w:r w:rsidR="00EB5648" w:rsidRPr="001F50FF">
              <w:rPr>
                <w:rStyle w:val="Hyperlink"/>
              </w:rPr>
              <w:t>(X1) Reliability of Infrastructure Index</w:t>
            </w:r>
            <w:r w:rsidR="00EB5648">
              <w:rPr>
                <w:webHidden/>
              </w:rPr>
              <w:tab/>
            </w:r>
            <w:r w:rsidR="00EB5648">
              <w:rPr>
                <w:webHidden/>
              </w:rPr>
              <w:fldChar w:fldCharType="begin"/>
            </w:r>
            <w:r w:rsidR="00EB5648">
              <w:rPr>
                <w:webHidden/>
              </w:rPr>
              <w:instrText xml:space="preserve"> PAGEREF _Toc78045083 \h </w:instrText>
            </w:r>
            <w:r w:rsidR="00EB5648">
              <w:rPr>
                <w:webHidden/>
              </w:rPr>
            </w:r>
            <w:r w:rsidR="00EB5648">
              <w:rPr>
                <w:webHidden/>
              </w:rPr>
              <w:fldChar w:fldCharType="separate"/>
            </w:r>
            <w:r w:rsidR="00EB5648">
              <w:rPr>
                <w:webHidden/>
              </w:rPr>
              <w:t>12</w:t>
            </w:r>
            <w:r w:rsidR="00EB5648">
              <w:rPr>
                <w:webHidden/>
              </w:rPr>
              <w:fldChar w:fldCharType="end"/>
            </w:r>
          </w:hyperlink>
        </w:p>
        <w:p w14:paraId="58E499B1" w14:textId="6A49EFD5" w:rsidR="00EB5648" w:rsidRDefault="00C141E0">
          <w:pPr>
            <w:pStyle w:val="TOC3"/>
            <w:rPr>
              <w:rFonts w:asciiTheme="minorHAnsi" w:eastAsiaTheme="minorEastAsia" w:hAnsiTheme="minorHAnsi" w:cstheme="minorBidi"/>
              <w:b w:val="0"/>
              <w:i w:val="0"/>
              <w:color w:val="auto"/>
              <w:sz w:val="24"/>
              <w:szCs w:val="24"/>
            </w:rPr>
          </w:pPr>
          <w:hyperlink w:anchor="_Toc78045084" w:history="1">
            <w:r w:rsidR="00EB5648" w:rsidRPr="001F50FF">
              <w:rPr>
                <w:rStyle w:val="Hyperlink"/>
              </w:rPr>
              <w:t>(X2) Transparency of Information Index</w:t>
            </w:r>
            <w:r w:rsidR="00EB5648">
              <w:rPr>
                <w:webHidden/>
              </w:rPr>
              <w:tab/>
            </w:r>
            <w:r w:rsidR="00EB5648">
              <w:rPr>
                <w:webHidden/>
              </w:rPr>
              <w:fldChar w:fldCharType="begin"/>
            </w:r>
            <w:r w:rsidR="00EB5648">
              <w:rPr>
                <w:webHidden/>
              </w:rPr>
              <w:instrText xml:space="preserve"> PAGEREF _Toc78045084 \h </w:instrText>
            </w:r>
            <w:r w:rsidR="00EB5648">
              <w:rPr>
                <w:webHidden/>
              </w:rPr>
            </w:r>
            <w:r w:rsidR="00EB5648">
              <w:rPr>
                <w:webHidden/>
              </w:rPr>
              <w:fldChar w:fldCharType="separate"/>
            </w:r>
            <w:r w:rsidR="00EB5648">
              <w:rPr>
                <w:webHidden/>
              </w:rPr>
              <w:t>13</w:t>
            </w:r>
            <w:r w:rsidR="00EB5648">
              <w:rPr>
                <w:webHidden/>
              </w:rPr>
              <w:fldChar w:fldCharType="end"/>
            </w:r>
          </w:hyperlink>
        </w:p>
        <w:p w14:paraId="54E90BEB" w14:textId="7B865E7D" w:rsidR="00EB5648" w:rsidRDefault="00C141E0">
          <w:pPr>
            <w:pStyle w:val="TOC3"/>
            <w:rPr>
              <w:rFonts w:asciiTheme="minorHAnsi" w:eastAsiaTheme="minorEastAsia" w:hAnsiTheme="minorHAnsi" w:cstheme="minorBidi"/>
              <w:b w:val="0"/>
              <w:i w:val="0"/>
              <w:color w:val="auto"/>
              <w:sz w:val="24"/>
              <w:szCs w:val="24"/>
            </w:rPr>
          </w:pPr>
          <w:hyperlink w:anchor="_Toc78045085" w:history="1">
            <w:r w:rsidR="00EB5648" w:rsidRPr="001F50FF">
              <w:rPr>
                <w:rStyle w:val="Hyperlink"/>
              </w:rPr>
              <w:t>(X3) Geographic Coverage Index</w:t>
            </w:r>
            <w:r w:rsidR="00EB5648">
              <w:rPr>
                <w:webHidden/>
              </w:rPr>
              <w:tab/>
            </w:r>
            <w:r w:rsidR="00EB5648">
              <w:rPr>
                <w:webHidden/>
              </w:rPr>
              <w:fldChar w:fldCharType="begin"/>
            </w:r>
            <w:r w:rsidR="00EB5648">
              <w:rPr>
                <w:webHidden/>
              </w:rPr>
              <w:instrText xml:space="preserve"> PAGEREF _Toc78045085 \h </w:instrText>
            </w:r>
            <w:r w:rsidR="00EB5648">
              <w:rPr>
                <w:webHidden/>
              </w:rPr>
            </w:r>
            <w:r w:rsidR="00EB5648">
              <w:rPr>
                <w:webHidden/>
              </w:rPr>
              <w:fldChar w:fldCharType="separate"/>
            </w:r>
            <w:r w:rsidR="00EB5648">
              <w:rPr>
                <w:webHidden/>
              </w:rPr>
              <w:t>13</w:t>
            </w:r>
            <w:r w:rsidR="00EB5648">
              <w:rPr>
                <w:webHidden/>
              </w:rPr>
              <w:fldChar w:fldCharType="end"/>
            </w:r>
          </w:hyperlink>
        </w:p>
        <w:p w14:paraId="0B7B1070" w14:textId="5DBB3CDC" w:rsidR="00EB5648" w:rsidRDefault="00C141E0">
          <w:pPr>
            <w:pStyle w:val="TOC3"/>
            <w:rPr>
              <w:rFonts w:asciiTheme="minorHAnsi" w:eastAsiaTheme="minorEastAsia" w:hAnsiTheme="minorHAnsi" w:cstheme="minorBidi"/>
              <w:b w:val="0"/>
              <w:i w:val="0"/>
              <w:color w:val="auto"/>
              <w:sz w:val="24"/>
              <w:szCs w:val="24"/>
            </w:rPr>
          </w:pPr>
          <w:hyperlink w:anchor="_Toc78045086" w:history="1">
            <w:r w:rsidR="00EB5648" w:rsidRPr="001F50FF">
              <w:rPr>
                <w:rStyle w:val="Hyperlink"/>
              </w:rPr>
              <w:t>(X4) Land Dispute Resolution Index</w:t>
            </w:r>
            <w:r w:rsidR="00EB5648">
              <w:rPr>
                <w:webHidden/>
              </w:rPr>
              <w:tab/>
            </w:r>
            <w:r w:rsidR="00EB5648">
              <w:rPr>
                <w:webHidden/>
              </w:rPr>
              <w:fldChar w:fldCharType="begin"/>
            </w:r>
            <w:r w:rsidR="00EB5648">
              <w:rPr>
                <w:webHidden/>
              </w:rPr>
              <w:instrText xml:space="preserve"> PAGEREF _Toc78045086 \h </w:instrText>
            </w:r>
            <w:r w:rsidR="00EB5648">
              <w:rPr>
                <w:webHidden/>
              </w:rPr>
            </w:r>
            <w:r w:rsidR="00EB5648">
              <w:rPr>
                <w:webHidden/>
              </w:rPr>
              <w:fldChar w:fldCharType="separate"/>
            </w:r>
            <w:r w:rsidR="00EB5648">
              <w:rPr>
                <w:webHidden/>
              </w:rPr>
              <w:t>14</w:t>
            </w:r>
            <w:r w:rsidR="00EB5648">
              <w:rPr>
                <w:webHidden/>
              </w:rPr>
              <w:fldChar w:fldCharType="end"/>
            </w:r>
          </w:hyperlink>
        </w:p>
        <w:p w14:paraId="0B3258E8" w14:textId="11863736" w:rsidR="00EB5648" w:rsidRDefault="00C141E0">
          <w:pPr>
            <w:pStyle w:val="TOC3"/>
            <w:rPr>
              <w:rFonts w:asciiTheme="minorHAnsi" w:eastAsiaTheme="minorEastAsia" w:hAnsiTheme="minorHAnsi" w:cstheme="minorBidi"/>
              <w:b w:val="0"/>
              <w:i w:val="0"/>
              <w:color w:val="auto"/>
              <w:sz w:val="24"/>
              <w:szCs w:val="24"/>
            </w:rPr>
          </w:pPr>
          <w:hyperlink w:anchor="_Toc78045087" w:history="1">
            <w:r w:rsidR="00EB5648" w:rsidRPr="001F50FF">
              <w:rPr>
                <w:rStyle w:val="Hyperlink"/>
              </w:rPr>
              <w:t>(X5) Population, total</w:t>
            </w:r>
            <w:r w:rsidR="00EB5648">
              <w:rPr>
                <w:webHidden/>
              </w:rPr>
              <w:tab/>
            </w:r>
            <w:r w:rsidR="00EB5648">
              <w:rPr>
                <w:webHidden/>
              </w:rPr>
              <w:fldChar w:fldCharType="begin"/>
            </w:r>
            <w:r w:rsidR="00EB5648">
              <w:rPr>
                <w:webHidden/>
              </w:rPr>
              <w:instrText xml:space="preserve"> PAGEREF _Toc78045087 \h </w:instrText>
            </w:r>
            <w:r w:rsidR="00EB5648">
              <w:rPr>
                <w:webHidden/>
              </w:rPr>
            </w:r>
            <w:r w:rsidR="00EB5648">
              <w:rPr>
                <w:webHidden/>
              </w:rPr>
              <w:fldChar w:fldCharType="separate"/>
            </w:r>
            <w:r w:rsidR="00EB5648">
              <w:rPr>
                <w:webHidden/>
              </w:rPr>
              <w:t>14</w:t>
            </w:r>
            <w:r w:rsidR="00EB5648">
              <w:rPr>
                <w:webHidden/>
              </w:rPr>
              <w:fldChar w:fldCharType="end"/>
            </w:r>
          </w:hyperlink>
        </w:p>
        <w:p w14:paraId="258962F2" w14:textId="2881FE0F" w:rsidR="00EB5648" w:rsidRDefault="00C141E0">
          <w:pPr>
            <w:pStyle w:val="TOC3"/>
            <w:rPr>
              <w:rFonts w:asciiTheme="minorHAnsi" w:eastAsiaTheme="minorEastAsia" w:hAnsiTheme="minorHAnsi" w:cstheme="minorBidi"/>
              <w:b w:val="0"/>
              <w:i w:val="0"/>
              <w:color w:val="auto"/>
              <w:sz w:val="24"/>
              <w:szCs w:val="24"/>
            </w:rPr>
          </w:pPr>
          <w:hyperlink w:anchor="_Toc78045088" w:history="1">
            <w:r w:rsidR="00EB5648" w:rsidRPr="001F50FF">
              <w:rPr>
                <w:rStyle w:val="Hyperlink"/>
              </w:rPr>
              <w:t>(X6) Rural population (% of total population)</w:t>
            </w:r>
            <w:r w:rsidR="00EB5648">
              <w:rPr>
                <w:webHidden/>
              </w:rPr>
              <w:tab/>
            </w:r>
            <w:r w:rsidR="00EB5648">
              <w:rPr>
                <w:webHidden/>
              </w:rPr>
              <w:fldChar w:fldCharType="begin"/>
            </w:r>
            <w:r w:rsidR="00EB5648">
              <w:rPr>
                <w:webHidden/>
              </w:rPr>
              <w:instrText xml:space="preserve"> PAGEREF _Toc78045088 \h </w:instrText>
            </w:r>
            <w:r w:rsidR="00EB5648">
              <w:rPr>
                <w:webHidden/>
              </w:rPr>
            </w:r>
            <w:r w:rsidR="00EB5648">
              <w:rPr>
                <w:webHidden/>
              </w:rPr>
              <w:fldChar w:fldCharType="separate"/>
            </w:r>
            <w:r w:rsidR="00EB5648">
              <w:rPr>
                <w:webHidden/>
              </w:rPr>
              <w:t>14</w:t>
            </w:r>
            <w:r w:rsidR="00EB5648">
              <w:rPr>
                <w:webHidden/>
              </w:rPr>
              <w:fldChar w:fldCharType="end"/>
            </w:r>
          </w:hyperlink>
        </w:p>
        <w:p w14:paraId="22A5AD44" w14:textId="69EF663F" w:rsidR="00EB5648" w:rsidRDefault="00C141E0">
          <w:pPr>
            <w:pStyle w:val="TOC1"/>
            <w:rPr>
              <w:rFonts w:asciiTheme="minorHAnsi" w:eastAsiaTheme="minorEastAsia" w:hAnsiTheme="minorHAnsi" w:cstheme="minorBidi"/>
              <w:b w:val="0"/>
              <w:bCs w:val="0"/>
              <w:i w:val="0"/>
              <w:iCs w:val="0"/>
              <w:color w:val="auto"/>
            </w:rPr>
          </w:pPr>
          <w:hyperlink w:anchor="_Toc78045089" w:history="1">
            <w:r w:rsidR="00EB5648" w:rsidRPr="001F50FF">
              <w:rPr>
                <w:rStyle w:val="Hyperlink"/>
                <w:color w:val="034990" w:themeColor="hyperlink" w:themeShade="BF"/>
              </w:rPr>
              <w:t>5. Research Findings</w:t>
            </w:r>
            <w:r w:rsidR="00EB5648">
              <w:rPr>
                <w:webHidden/>
              </w:rPr>
              <w:tab/>
            </w:r>
            <w:r w:rsidR="00EB5648">
              <w:rPr>
                <w:webHidden/>
              </w:rPr>
              <w:fldChar w:fldCharType="begin"/>
            </w:r>
            <w:r w:rsidR="00EB5648">
              <w:rPr>
                <w:webHidden/>
              </w:rPr>
              <w:instrText xml:space="preserve"> PAGEREF _Toc78045089 \h </w:instrText>
            </w:r>
            <w:r w:rsidR="00EB5648">
              <w:rPr>
                <w:webHidden/>
              </w:rPr>
            </w:r>
            <w:r w:rsidR="00EB5648">
              <w:rPr>
                <w:webHidden/>
              </w:rPr>
              <w:fldChar w:fldCharType="separate"/>
            </w:r>
            <w:r w:rsidR="00EB5648">
              <w:rPr>
                <w:webHidden/>
              </w:rPr>
              <w:t>15</w:t>
            </w:r>
            <w:r w:rsidR="00EB5648">
              <w:rPr>
                <w:webHidden/>
              </w:rPr>
              <w:fldChar w:fldCharType="end"/>
            </w:r>
          </w:hyperlink>
        </w:p>
        <w:p w14:paraId="48F4CAE4" w14:textId="311A89D1" w:rsidR="00EB5648" w:rsidRDefault="00C141E0">
          <w:pPr>
            <w:pStyle w:val="TOC2"/>
            <w:rPr>
              <w:rFonts w:asciiTheme="minorHAnsi" w:eastAsiaTheme="minorEastAsia" w:hAnsiTheme="minorHAnsi" w:cstheme="minorBidi"/>
              <w:bCs w:val="0"/>
              <w:color w:val="auto"/>
              <w:sz w:val="24"/>
              <w:szCs w:val="24"/>
            </w:rPr>
          </w:pPr>
          <w:hyperlink w:anchor="_Toc78045090" w:history="1">
            <w:r w:rsidR="00EB5648" w:rsidRPr="001F50FF">
              <w:rPr>
                <w:rStyle w:val="Hyperlink"/>
                <w:color w:val="034990" w:themeColor="hyperlink" w:themeShade="BF"/>
              </w:rPr>
              <w:t>5.1 Initial Regression</w:t>
            </w:r>
            <w:r w:rsidR="00EB5648">
              <w:rPr>
                <w:webHidden/>
              </w:rPr>
              <w:tab/>
            </w:r>
            <w:r w:rsidR="00EB5648">
              <w:rPr>
                <w:webHidden/>
              </w:rPr>
              <w:fldChar w:fldCharType="begin"/>
            </w:r>
            <w:r w:rsidR="00EB5648">
              <w:rPr>
                <w:webHidden/>
              </w:rPr>
              <w:instrText xml:space="preserve"> PAGEREF _Toc78045090 \h </w:instrText>
            </w:r>
            <w:r w:rsidR="00EB5648">
              <w:rPr>
                <w:webHidden/>
              </w:rPr>
            </w:r>
            <w:r w:rsidR="00EB5648">
              <w:rPr>
                <w:webHidden/>
              </w:rPr>
              <w:fldChar w:fldCharType="separate"/>
            </w:r>
            <w:r w:rsidR="00EB5648">
              <w:rPr>
                <w:webHidden/>
              </w:rPr>
              <w:t>15</w:t>
            </w:r>
            <w:r w:rsidR="00EB5648">
              <w:rPr>
                <w:webHidden/>
              </w:rPr>
              <w:fldChar w:fldCharType="end"/>
            </w:r>
          </w:hyperlink>
        </w:p>
        <w:p w14:paraId="721867B7" w14:textId="32E60FB8" w:rsidR="00EB5648" w:rsidRDefault="00C141E0">
          <w:pPr>
            <w:pStyle w:val="TOC3"/>
            <w:rPr>
              <w:rFonts w:asciiTheme="minorHAnsi" w:eastAsiaTheme="minorEastAsia" w:hAnsiTheme="minorHAnsi" w:cstheme="minorBidi"/>
              <w:b w:val="0"/>
              <w:i w:val="0"/>
              <w:color w:val="auto"/>
              <w:sz w:val="24"/>
              <w:szCs w:val="24"/>
            </w:rPr>
          </w:pPr>
          <w:hyperlink w:anchor="_Toc78045091" w:history="1">
            <w:r w:rsidR="00EB5648" w:rsidRPr="001F50FF">
              <w:rPr>
                <w:rStyle w:val="Hyperlink"/>
              </w:rPr>
              <w:t>Table 1. Initial Regression Model Fit</w:t>
            </w:r>
            <w:r w:rsidR="00EB5648">
              <w:rPr>
                <w:webHidden/>
              </w:rPr>
              <w:tab/>
            </w:r>
            <w:r w:rsidR="00EB5648">
              <w:rPr>
                <w:webHidden/>
              </w:rPr>
              <w:fldChar w:fldCharType="begin"/>
            </w:r>
            <w:r w:rsidR="00EB5648">
              <w:rPr>
                <w:webHidden/>
              </w:rPr>
              <w:instrText xml:space="preserve"> PAGEREF _Toc78045091 \h </w:instrText>
            </w:r>
            <w:r w:rsidR="00EB5648">
              <w:rPr>
                <w:webHidden/>
              </w:rPr>
            </w:r>
            <w:r w:rsidR="00EB5648">
              <w:rPr>
                <w:webHidden/>
              </w:rPr>
              <w:fldChar w:fldCharType="separate"/>
            </w:r>
            <w:r w:rsidR="00EB5648">
              <w:rPr>
                <w:webHidden/>
              </w:rPr>
              <w:t>15</w:t>
            </w:r>
            <w:r w:rsidR="00EB5648">
              <w:rPr>
                <w:webHidden/>
              </w:rPr>
              <w:fldChar w:fldCharType="end"/>
            </w:r>
          </w:hyperlink>
        </w:p>
        <w:p w14:paraId="2D4FBDFC" w14:textId="7389E3AE" w:rsidR="00EB5648" w:rsidRDefault="00C141E0">
          <w:pPr>
            <w:pStyle w:val="TOC3"/>
            <w:rPr>
              <w:rFonts w:asciiTheme="minorHAnsi" w:eastAsiaTheme="minorEastAsia" w:hAnsiTheme="minorHAnsi" w:cstheme="minorBidi"/>
              <w:b w:val="0"/>
              <w:i w:val="0"/>
              <w:color w:val="auto"/>
              <w:sz w:val="24"/>
              <w:szCs w:val="24"/>
            </w:rPr>
          </w:pPr>
          <w:hyperlink w:anchor="_Toc78045092" w:history="1">
            <w:r w:rsidR="00EB5648" w:rsidRPr="001F50FF">
              <w:rPr>
                <w:rStyle w:val="Hyperlink"/>
              </w:rPr>
              <w:t>Table 2. Initial Regression Results</w:t>
            </w:r>
            <w:r w:rsidR="00EB5648">
              <w:rPr>
                <w:webHidden/>
              </w:rPr>
              <w:tab/>
            </w:r>
            <w:r w:rsidR="00EB5648">
              <w:rPr>
                <w:webHidden/>
              </w:rPr>
              <w:fldChar w:fldCharType="begin"/>
            </w:r>
            <w:r w:rsidR="00EB5648">
              <w:rPr>
                <w:webHidden/>
              </w:rPr>
              <w:instrText xml:space="preserve"> PAGEREF _Toc78045092 \h </w:instrText>
            </w:r>
            <w:r w:rsidR="00EB5648">
              <w:rPr>
                <w:webHidden/>
              </w:rPr>
            </w:r>
            <w:r w:rsidR="00EB5648">
              <w:rPr>
                <w:webHidden/>
              </w:rPr>
              <w:fldChar w:fldCharType="separate"/>
            </w:r>
            <w:r w:rsidR="00EB5648">
              <w:rPr>
                <w:webHidden/>
              </w:rPr>
              <w:t>16</w:t>
            </w:r>
            <w:r w:rsidR="00EB5648">
              <w:rPr>
                <w:webHidden/>
              </w:rPr>
              <w:fldChar w:fldCharType="end"/>
            </w:r>
          </w:hyperlink>
        </w:p>
        <w:p w14:paraId="6738329A" w14:textId="5FAB7A9B" w:rsidR="00EB5648" w:rsidRDefault="00C141E0">
          <w:pPr>
            <w:pStyle w:val="TOC2"/>
            <w:rPr>
              <w:rFonts w:asciiTheme="minorHAnsi" w:eastAsiaTheme="minorEastAsia" w:hAnsiTheme="minorHAnsi" w:cstheme="minorBidi"/>
              <w:bCs w:val="0"/>
              <w:color w:val="auto"/>
              <w:sz w:val="24"/>
              <w:szCs w:val="24"/>
            </w:rPr>
          </w:pPr>
          <w:hyperlink w:anchor="_Toc78045093" w:history="1">
            <w:r w:rsidR="00EB5648" w:rsidRPr="001F50FF">
              <w:rPr>
                <w:rStyle w:val="Hyperlink"/>
                <w:color w:val="034990" w:themeColor="hyperlink" w:themeShade="BF"/>
              </w:rPr>
              <w:t>5.2 Log-Adjusted Regression</w:t>
            </w:r>
            <w:r w:rsidR="00EB5648">
              <w:rPr>
                <w:webHidden/>
              </w:rPr>
              <w:tab/>
            </w:r>
            <w:r w:rsidR="00EB5648">
              <w:rPr>
                <w:webHidden/>
              </w:rPr>
              <w:fldChar w:fldCharType="begin"/>
            </w:r>
            <w:r w:rsidR="00EB5648">
              <w:rPr>
                <w:webHidden/>
              </w:rPr>
              <w:instrText xml:space="preserve"> PAGEREF _Toc78045093 \h </w:instrText>
            </w:r>
            <w:r w:rsidR="00EB5648">
              <w:rPr>
                <w:webHidden/>
              </w:rPr>
            </w:r>
            <w:r w:rsidR="00EB5648">
              <w:rPr>
                <w:webHidden/>
              </w:rPr>
              <w:fldChar w:fldCharType="separate"/>
            </w:r>
            <w:r w:rsidR="00EB5648">
              <w:rPr>
                <w:webHidden/>
              </w:rPr>
              <w:t>18</w:t>
            </w:r>
            <w:r w:rsidR="00EB5648">
              <w:rPr>
                <w:webHidden/>
              </w:rPr>
              <w:fldChar w:fldCharType="end"/>
            </w:r>
          </w:hyperlink>
        </w:p>
        <w:p w14:paraId="71FA37C7" w14:textId="17F45378" w:rsidR="00EB5648" w:rsidRDefault="00C141E0">
          <w:pPr>
            <w:pStyle w:val="TOC3"/>
            <w:rPr>
              <w:rFonts w:asciiTheme="minorHAnsi" w:eastAsiaTheme="minorEastAsia" w:hAnsiTheme="minorHAnsi" w:cstheme="minorBidi"/>
              <w:b w:val="0"/>
              <w:i w:val="0"/>
              <w:color w:val="auto"/>
              <w:sz w:val="24"/>
              <w:szCs w:val="24"/>
            </w:rPr>
          </w:pPr>
          <w:hyperlink w:anchor="_Toc78045094" w:history="1">
            <w:r w:rsidR="00EB5648" w:rsidRPr="001F50FF">
              <w:rPr>
                <w:rStyle w:val="Hyperlink"/>
              </w:rPr>
              <w:t>Table 3. Log-Adjusted Model Fit</w:t>
            </w:r>
            <w:r w:rsidR="00EB5648">
              <w:rPr>
                <w:webHidden/>
              </w:rPr>
              <w:tab/>
            </w:r>
            <w:r w:rsidR="00EB5648">
              <w:rPr>
                <w:webHidden/>
              </w:rPr>
              <w:fldChar w:fldCharType="begin"/>
            </w:r>
            <w:r w:rsidR="00EB5648">
              <w:rPr>
                <w:webHidden/>
              </w:rPr>
              <w:instrText xml:space="preserve"> PAGEREF _Toc78045094 \h </w:instrText>
            </w:r>
            <w:r w:rsidR="00EB5648">
              <w:rPr>
                <w:webHidden/>
              </w:rPr>
            </w:r>
            <w:r w:rsidR="00EB5648">
              <w:rPr>
                <w:webHidden/>
              </w:rPr>
              <w:fldChar w:fldCharType="separate"/>
            </w:r>
            <w:r w:rsidR="00EB5648">
              <w:rPr>
                <w:webHidden/>
              </w:rPr>
              <w:t>18</w:t>
            </w:r>
            <w:r w:rsidR="00EB5648">
              <w:rPr>
                <w:webHidden/>
              </w:rPr>
              <w:fldChar w:fldCharType="end"/>
            </w:r>
          </w:hyperlink>
        </w:p>
        <w:p w14:paraId="273AB479" w14:textId="721EA325" w:rsidR="00EB5648" w:rsidRDefault="00C141E0">
          <w:pPr>
            <w:pStyle w:val="TOC3"/>
            <w:rPr>
              <w:rFonts w:asciiTheme="minorHAnsi" w:eastAsiaTheme="minorEastAsia" w:hAnsiTheme="minorHAnsi" w:cstheme="minorBidi"/>
              <w:b w:val="0"/>
              <w:i w:val="0"/>
              <w:color w:val="auto"/>
              <w:sz w:val="24"/>
              <w:szCs w:val="24"/>
            </w:rPr>
          </w:pPr>
          <w:hyperlink w:anchor="_Toc78045095" w:history="1">
            <w:r w:rsidR="00EB5648" w:rsidRPr="001F50FF">
              <w:rPr>
                <w:rStyle w:val="Hyperlink"/>
              </w:rPr>
              <w:t>Table 4. Log-Adjusted Regression Results</w:t>
            </w:r>
            <w:r w:rsidR="00EB5648">
              <w:rPr>
                <w:webHidden/>
              </w:rPr>
              <w:tab/>
            </w:r>
            <w:r w:rsidR="00EB5648">
              <w:rPr>
                <w:webHidden/>
              </w:rPr>
              <w:fldChar w:fldCharType="begin"/>
            </w:r>
            <w:r w:rsidR="00EB5648">
              <w:rPr>
                <w:webHidden/>
              </w:rPr>
              <w:instrText xml:space="preserve"> PAGEREF _Toc78045095 \h </w:instrText>
            </w:r>
            <w:r w:rsidR="00EB5648">
              <w:rPr>
                <w:webHidden/>
              </w:rPr>
            </w:r>
            <w:r w:rsidR="00EB5648">
              <w:rPr>
                <w:webHidden/>
              </w:rPr>
              <w:fldChar w:fldCharType="separate"/>
            </w:r>
            <w:r w:rsidR="00EB5648">
              <w:rPr>
                <w:webHidden/>
              </w:rPr>
              <w:t>19</w:t>
            </w:r>
            <w:r w:rsidR="00EB5648">
              <w:rPr>
                <w:webHidden/>
              </w:rPr>
              <w:fldChar w:fldCharType="end"/>
            </w:r>
          </w:hyperlink>
        </w:p>
        <w:p w14:paraId="122A3E15" w14:textId="646136D2" w:rsidR="00EB5648" w:rsidRDefault="00C141E0">
          <w:pPr>
            <w:pStyle w:val="TOC2"/>
            <w:rPr>
              <w:rFonts w:asciiTheme="minorHAnsi" w:eastAsiaTheme="minorEastAsia" w:hAnsiTheme="minorHAnsi" w:cstheme="minorBidi"/>
              <w:bCs w:val="0"/>
              <w:color w:val="auto"/>
              <w:sz w:val="24"/>
              <w:szCs w:val="24"/>
            </w:rPr>
          </w:pPr>
          <w:hyperlink w:anchor="_Toc78045096" w:history="1">
            <w:r w:rsidR="00EB5648" w:rsidRPr="001F50FF">
              <w:rPr>
                <w:rStyle w:val="Hyperlink"/>
                <w:color w:val="034990" w:themeColor="hyperlink" w:themeShade="BF"/>
              </w:rPr>
              <w:t>5.3 Limitations of Findings</w:t>
            </w:r>
            <w:r w:rsidR="00EB5648">
              <w:rPr>
                <w:webHidden/>
              </w:rPr>
              <w:tab/>
            </w:r>
            <w:r w:rsidR="00EB5648">
              <w:rPr>
                <w:webHidden/>
              </w:rPr>
              <w:fldChar w:fldCharType="begin"/>
            </w:r>
            <w:r w:rsidR="00EB5648">
              <w:rPr>
                <w:webHidden/>
              </w:rPr>
              <w:instrText xml:space="preserve"> PAGEREF _Toc78045096 \h </w:instrText>
            </w:r>
            <w:r w:rsidR="00EB5648">
              <w:rPr>
                <w:webHidden/>
              </w:rPr>
            </w:r>
            <w:r w:rsidR="00EB5648">
              <w:rPr>
                <w:webHidden/>
              </w:rPr>
              <w:fldChar w:fldCharType="separate"/>
            </w:r>
            <w:r w:rsidR="00EB5648">
              <w:rPr>
                <w:webHidden/>
              </w:rPr>
              <w:t>20</w:t>
            </w:r>
            <w:r w:rsidR="00EB5648">
              <w:rPr>
                <w:webHidden/>
              </w:rPr>
              <w:fldChar w:fldCharType="end"/>
            </w:r>
          </w:hyperlink>
        </w:p>
        <w:p w14:paraId="799C60FA" w14:textId="68FEDBD3" w:rsidR="00EB5648" w:rsidRDefault="00C141E0">
          <w:pPr>
            <w:pStyle w:val="TOC1"/>
            <w:rPr>
              <w:rFonts w:asciiTheme="minorHAnsi" w:eastAsiaTheme="minorEastAsia" w:hAnsiTheme="minorHAnsi" w:cstheme="minorBidi"/>
              <w:b w:val="0"/>
              <w:bCs w:val="0"/>
              <w:i w:val="0"/>
              <w:iCs w:val="0"/>
              <w:color w:val="auto"/>
            </w:rPr>
          </w:pPr>
          <w:hyperlink w:anchor="_Toc78045097" w:history="1">
            <w:r w:rsidR="00EB5648" w:rsidRPr="001F50FF">
              <w:rPr>
                <w:rStyle w:val="Hyperlink"/>
                <w:color w:val="034990" w:themeColor="hyperlink" w:themeShade="BF"/>
              </w:rPr>
              <w:t>6. Policy Recommendations &amp; Concluding Remarks</w:t>
            </w:r>
            <w:r w:rsidR="00EB5648">
              <w:rPr>
                <w:webHidden/>
              </w:rPr>
              <w:tab/>
            </w:r>
            <w:r w:rsidR="00EB5648">
              <w:rPr>
                <w:webHidden/>
              </w:rPr>
              <w:fldChar w:fldCharType="begin"/>
            </w:r>
            <w:r w:rsidR="00EB5648">
              <w:rPr>
                <w:webHidden/>
              </w:rPr>
              <w:instrText xml:space="preserve"> PAGEREF _Toc78045097 \h </w:instrText>
            </w:r>
            <w:r w:rsidR="00EB5648">
              <w:rPr>
                <w:webHidden/>
              </w:rPr>
            </w:r>
            <w:r w:rsidR="00EB5648">
              <w:rPr>
                <w:webHidden/>
              </w:rPr>
              <w:fldChar w:fldCharType="separate"/>
            </w:r>
            <w:r w:rsidR="00EB5648">
              <w:rPr>
                <w:webHidden/>
              </w:rPr>
              <w:t>20</w:t>
            </w:r>
            <w:r w:rsidR="00EB5648">
              <w:rPr>
                <w:webHidden/>
              </w:rPr>
              <w:fldChar w:fldCharType="end"/>
            </w:r>
          </w:hyperlink>
        </w:p>
        <w:p w14:paraId="7F413D3E" w14:textId="3248C195" w:rsidR="00EB5648" w:rsidRDefault="00C141E0">
          <w:pPr>
            <w:pStyle w:val="TOC2"/>
            <w:rPr>
              <w:rFonts w:asciiTheme="minorHAnsi" w:eastAsiaTheme="minorEastAsia" w:hAnsiTheme="minorHAnsi" w:cstheme="minorBidi"/>
              <w:bCs w:val="0"/>
              <w:color w:val="auto"/>
              <w:sz w:val="24"/>
              <w:szCs w:val="24"/>
            </w:rPr>
          </w:pPr>
          <w:hyperlink w:anchor="_Toc78045098" w:history="1">
            <w:r w:rsidR="00EB5648" w:rsidRPr="001F50FF">
              <w:rPr>
                <w:rStyle w:val="Hyperlink"/>
                <w:color w:val="034990" w:themeColor="hyperlink" w:themeShade="BF"/>
              </w:rPr>
              <w:t>6.1 Recommended Policy Path</w:t>
            </w:r>
            <w:r w:rsidR="00EB5648">
              <w:rPr>
                <w:webHidden/>
              </w:rPr>
              <w:tab/>
            </w:r>
            <w:r w:rsidR="00EB5648">
              <w:rPr>
                <w:webHidden/>
              </w:rPr>
              <w:fldChar w:fldCharType="begin"/>
            </w:r>
            <w:r w:rsidR="00EB5648">
              <w:rPr>
                <w:webHidden/>
              </w:rPr>
              <w:instrText xml:space="preserve"> PAGEREF _Toc78045098 \h </w:instrText>
            </w:r>
            <w:r w:rsidR="00EB5648">
              <w:rPr>
                <w:webHidden/>
              </w:rPr>
            </w:r>
            <w:r w:rsidR="00EB5648">
              <w:rPr>
                <w:webHidden/>
              </w:rPr>
              <w:fldChar w:fldCharType="separate"/>
            </w:r>
            <w:r w:rsidR="00EB5648">
              <w:rPr>
                <w:webHidden/>
              </w:rPr>
              <w:t>20</w:t>
            </w:r>
            <w:r w:rsidR="00EB5648">
              <w:rPr>
                <w:webHidden/>
              </w:rPr>
              <w:fldChar w:fldCharType="end"/>
            </w:r>
          </w:hyperlink>
        </w:p>
        <w:p w14:paraId="04D77F6B" w14:textId="0D723F34" w:rsidR="00EB5648" w:rsidRDefault="00C141E0">
          <w:pPr>
            <w:pStyle w:val="TOC2"/>
            <w:rPr>
              <w:rFonts w:asciiTheme="minorHAnsi" w:eastAsiaTheme="minorEastAsia" w:hAnsiTheme="minorHAnsi" w:cstheme="minorBidi"/>
              <w:bCs w:val="0"/>
              <w:color w:val="auto"/>
              <w:sz w:val="24"/>
              <w:szCs w:val="24"/>
            </w:rPr>
          </w:pPr>
          <w:hyperlink w:anchor="_Toc78045099" w:history="1">
            <w:r w:rsidR="00EB5648" w:rsidRPr="001F50FF">
              <w:rPr>
                <w:rStyle w:val="Hyperlink"/>
                <w:color w:val="034990" w:themeColor="hyperlink" w:themeShade="BF"/>
              </w:rPr>
              <w:t>6.2 Concluding Remarks</w:t>
            </w:r>
            <w:r w:rsidR="00EB5648">
              <w:rPr>
                <w:webHidden/>
              </w:rPr>
              <w:tab/>
            </w:r>
            <w:r w:rsidR="00EB5648">
              <w:rPr>
                <w:webHidden/>
              </w:rPr>
              <w:fldChar w:fldCharType="begin"/>
            </w:r>
            <w:r w:rsidR="00EB5648">
              <w:rPr>
                <w:webHidden/>
              </w:rPr>
              <w:instrText xml:space="preserve"> PAGEREF _Toc78045099 \h </w:instrText>
            </w:r>
            <w:r w:rsidR="00EB5648">
              <w:rPr>
                <w:webHidden/>
              </w:rPr>
            </w:r>
            <w:r w:rsidR="00EB5648">
              <w:rPr>
                <w:webHidden/>
              </w:rPr>
              <w:fldChar w:fldCharType="separate"/>
            </w:r>
            <w:r w:rsidR="00EB5648">
              <w:rPr>
                <w:webHidden/>
              </w:rPr>
              <w:t>22</w:t>
            </w:r>
            <w:r w:rsidR="00EB5648">
              <w:rPr>
                <w:webHidden/>
              </w:rPr>
              <w:fldChar w:fldCharType="end"/>
            </w:r>
          </w:hyperlink>
        </w:p>
        <w:p w14:paraId="5B21FEB2" w14:textId="7129DE03" w:rsidR="00277D06" w:rsidRPr="00277D06" w:rsidRDefault="00C652BC">
          <w:pPr>
            <w:rPr>
              <w:rFonts w:ascii="Rockwell" w:hAnsi="Rockwell"/>
              <w:bCs/>
              <w:noProof/>
              <w:color w:val="1F3864" w:themeColor="accent1" w:themeShade="80"/>
            </w:rPr>
          </w:pPr>
          <w:r w:rsidRPr="00277D06">
            <w:rPr>
              <w:rFonts w:ascii="Rockwell" w:hAnsi="Rockwell"/>
              <w:bCs/>
              <w:noProof/>
              <w:color w:val="1F3864" w:themeColor="accent1" w:themeShade="80"/>
            </w:rPr>
            <w:fldChar w:fldCharType="end"/>
          </w:r>
        </w:p>
        <w:p w14:paraId="4234DD83" w14:textId="6499A344" w:rsidR="00277D06" w:rsidRPr="00277D06" w:rsidRDefault="00277D06" w:rsidP="00277D06">
          <w:pPr>
            <w:rPr>
              <w:rFonts w:ascii="Rockwell" w:hAnsi="Rockwell"/>
              <w:b/>
              <w:color w:val="2F5496" w:themeColor="accent1" w:themeShade="BF"/>
            </w:rPr>
          </w:pPr>
          <w:r w:rsidRPr="00277D06">
            <w:rPr>
              <w:rFonts w:ascii="Rockwell" w:hAnsi="Rockwell"/>
              <w:b/>
              <w:color w:val="2F5496" w:themeColor="accent1" w:themeShade="BF"/>
            </w:rPr>
            <w:t xml:space="preserve">Bibliography………………………………………………………………………….…… </w:t>
          </w:r>
          <w:r w:rsidR="00260585">
            <w:rPr>
              <w:rFonts w:ascii="Rockwell" w:hAnsi="Rockwell"/>
              <w:b/>
              <w:color w:val="2F5496" w:themeColor="accent1" w:themeShade="BF"/>
            </w:rPr>
            <w:t xml:space="preserve"> </w:t>
          </w:r>
          <w:r w:rsidR="004938DC">
            <w:rPr>
              <w:rFonts w:ascii="Rockwell" w:hAnsi="Rockwell"/>
              <w:b/>
              <w:color w:val="2F5496" w:themeColor="accent1" w:themeShade="BF"/>
            </w:rPr>
            <w:t>2</w:t>
          </w:r>
          <w:r w:rsidR="0021007B">
            <w:rPr>
              <w:rFonts w:ascii="Rockwell" w:hAnsi="Rockwell"/>
              <w:b/>
              <w:color w:val="2F5496" w:themeColor="accent1" w:themeShade="BF"/>
            </w:rPr>
            <w:t>3</w:t>
          </w:r>
          <w:r w:rsidRPr="00277D06">
            <w:rPr>
              <w:rFonts w:ascii="Rockwell" w:hAnsi="Rockwell"/>
              <w:b/>
              <w:color w:val="2F5496" w:themeColor="accent1" w:themeShade="BF"/>
            </w:rPr>
            <w:t xml:space="preserve">  Appendix……………………………………………………………………….……..…</w:t>
          </w:r>
          <w:r w:rsidR="009436F2">
            <w:rPr>
              <w:rFonts w:ascii="Rockwell" w:hAnsi="Rockwell"/>
              <w:b/>
              <w:color w:val="2F5496" w:themeColor="accent1" w:themeShade="BF"/>
            </w:rPr>
            <w:t xml:space="preserve">… </w:t>
          </w:r>
          <w:r w:rsidRPr="00277D06">
            <w:rPr>
              <w:rFonts w:ascii="Rockwell" w:hAnsi="Rockwell"/>
              <w:b/>
              <w:color w:val="2F5496" w:themeColor="accent1" w:themeShade="BF"/>
            </w:rPr>
            <w:t xml:space="preserve"> </w:t>
          </w:r>
          <w:r w:rsidR="009436F2">
            <w:rPr>
              <w:rFonts w:ascii="Rockwell" w:hAnsi="Rockwell"/>
              <w:b/>
              <w:color w:val="2F5496" w:themeColor="accent1" w:themeShade="BF"/>
            </w:rPr>
            <w:t>2</w:t>
          </w:r>
          <w:r w:rsidR="00EB5648">
            <w:rPr>
              <w:rFonts w:ascii="Rockwell" w:hAnsi="Rockwell"/>
              <w:b/>
              <w:color w:val="2F5496" w:themeColor="accent1" w:themeShade="BF"/>
            </w:rPr>
            <w:t>6</w:t>
          </w:r>
        </w:p>
        <w:p w14:paraId="0122C52F" w14:textId="77777777" w:rsidR="00C652BC" w:rsidRDefault="00C141E0" w:rsidP="0068345C"/>
      </w:sdtContent>
    </w:sdt>
    <w:p w14:paraId="3240D55B" w14:textId="77777777" w:rsidR="00044DD4" w:rsidRDefault="00044DD4" w:rsidP="002751AE">
      <w:pPr>
        <w:jc w:val="center"/>
        <w:rPr>
          <w:sz w:val="20"/>
          <w:szCs w:val="20"/>
        </w:rPr>
      </w:pPr>
    </w:p>
    <w:p w14:paraId="1C4AF5AA" w14:textId="77777777" w:rsidR="00044DD4" w:rsidRDefault="00044DD4" w:rsidP="002751AE">
      <w:pPr>
        <w:jc w:val="center"/>
        <w:rPr>
          <w:sz w:val="20"/>
          <w:szCs w:val="20"/>
        </w:rPr>
      </w:pPr>
    </w:p>
    <w:p w14:paraId="67F82026" w14:textId="02BF3E6C" w:rsidR="00701123" w:rsidRPr="00044DD4" w:rsidRDefault="00265470" w:rsidP="00044DD4">
      <w:pPr>
        <w:jc w:val="center"/>
        <w:rPr>
          <w:sz w:val="20"/>
          <w:szCs w:val="20"/>
        </w:rPr>
      </w:pPr>
      <w:r w:rsidRPr="00265470">
        <w:rPr>
          <w:sz w:val="20"/>
          <w:szCs w:val="20"/>
        </w:rPr>
        <w:t>iv</w:t>
      </w:r>
    </w:p>
    <w:p w14:paraId="34F62F47" w14:textId="77777777" w:rsidR="00C652BC" w:rsidRPr="00316E23" w:rsidRDefault="00C57614" w:rsidP="0068345C">
      <w:pPr>
        <w:rPr>
          <w:rFonts w:ascii="Rockwell" w:hAnsi="Rockwell"/>
          <w:color w:val="2F5496" w:themeColor="accent1" w:themeShade="BF"/>
          <w:sz w:val="28"/>
        </w:rPr>
      </w:pPr>
      <w:r w:rsidRPr="00316E23">
        <w:rPr>
          <w:rFonts w:ascii="Rockwell" w:hAnsi="Rockwell"/>
          <w:color w:val="2F5496" w:themeColor="accent1" w:themeShade="BF"/>
          <w:sz w:val="28"/>
        </w:rPr>
        <w:lastRenderedPageBreak/>
        <w:t>List of Figures</w:t>
      </w:r>
    </w:p>
    <w:p w14:paraId="6380944D" w14:textId="77777777" w:rsidR="00316E23" w:rsidRDefault="00316E23" w:rsidP="0068345C"/>
    <w:p w14:paraId="56C6422F" w14:textId="77777777" w:rsidR="00316E23" w:rsidRPr="00E42E05" w:rsidRDefault="00316E23" w:rsidP="00E42E05">
      <w:pPr>
        <w:rPr>
          <w:i/>
          <w:color w:val="4472C4" w:themeColor="accent1"/>
        </w:rPr>
      </w:pPr>
      <w:r w:rsidRPr="00E42E05">
        <w:rPr>
          <w:i/>
          <w:color w:val="4472C4" w:themeColor="accent1"/>
        </w:rPr>
        <w:t>Figure 1. Regression Model</w:t>
      </w:r>
    </w:p>
    <w:p w14:paraId="0EE5FAB7" w14:textId="77777777" w:rsidR="00316E23" w:rsidRPr="002B792E" w:rsidRDefault="00316E23" w:rsidP="00316E23">
      <w:pPr>
        <w:shd w:val="clear" w:color="auto" w:fill="DEEAF6" w:themeFill="accent5" w:themeFillTint="33"/>
        <w:spacing w:line="360" w:lineRule="auto"/>
        <w:jc w:val="center"/>
        <w:rPr>
          <w:rStyle w:val="mord"/>
          <w:b/>
          <w:color w:val="0070C0"/>
          <w:vertAlign w:val="subscript"/>
        </w:rPr>
      </w:pPr>
      <w:r w:rsidRPr="002B792E">
        <w:rPr>
          <w:b/>
          <w:i/>
          <w:color w:val="0070C0"/>
        </w:rPr>
        <w:t>Public Credit Registry Coverage</w:t>
      </w:r>
      <w:r w:rsidRPr="002B792E">
        <w:rPr>
          <w:b/>
          <w:color w:val="0070C0"/>
        </w:rPr>
        <w:t xml:space="preserve"> = β</w:t>
      </w:r>
      <w:r w:rsidRPr="002B792E">
        <w:rPr>
          <w:b/>
          <w:color w:val="0070C0"/>
          <w:vertAlign w:val="subscript"/>
        </w:rPr>
        <w:t>o</w:t>
      </w:r>
      <w:r w:rsidRPr="002B792E">
        <w:rPr>
          <w:b/>
          <w:color w:val="0070C0"/>
        </w:rPr>
        <w:t xml:space="preserve"> + β</w:t>
      </w:r>
      <w:r w:rsidRPr="002B792E">
        <w:rPr>
          <w:b/>
          <w:color w:val="0070C0"/>
          <w:vertAlign w:val="subscript"/>
        </w:rPr>
        <w:t>1</w:t>
      </w:r>
      <w:r w:rsidRPr="002B792E">
        <w:rPr>
          <w:b/>
          <w:color w:val="0070C0"/>
        </w:rPr>
        <w:t>(</w:t>
      </w:r>
      <w:r w:rsidRPr="002B792E">
        <w:rPr>
          <w:b/>
          <w:i/>
          <w:color w:val="0070C0"/>
        </w:rPr>
        <w:t>Reliability of Infrastructure</w:t>
      </w:r>
      <w:r w:rsidRPr="002B792E">
        <w:rPr>
          <w:b/>
          <w:color w:val="0070C0"/>
        </w:rPr>
        <w:t>) + β</w:t>
      </w:r>
      <w:r w:rsidRPr="002B792E">
        <w:rPr>
          <w:b/>
          <w:color w:val="0070C0"/>
          <w:vertAlign w:val="subscript"/>
        </w:rPr>
        <w:t>2</w:t>
      </w:r>
      <w:r w:rsidRPr="002B792E">
        <w:rPr>
          <w:b/>
          <w:color w:val="0070C0"/>
        </w:rPr>
        <w:t xml:space="preserve"> (</w:t>
      </w:r>
      <w:r w:rsidRPr="002B792E">
        <w:rPr>
          <w:b/>
          <w:i/>
          <w:color w:val="0070C0"/>
        </w:rPr>
        <w:t>Transparency of Information</w:t>
      </w:r>
      <w:r w:rsidRPr="002B792E">
        <w:rPr>
          <w:b/>
          <w:color w:val="0070C0"/>
        </w:rPr>
        <w:t>) + β</w:t>
      </w:r>
      <w:r w:rsidRPr="002B792E">
        <w:rPr>
          <w:b/>
          <w:color w:val="0070C0"/>
          <w:vertAlign w:val="subscript"/>
        </w:rPr>
        <w:t>3</w:t>
      </w:r>
      <w:r w:rsidRPr="002B792E">
        <w:rPr>
          <w:b/>
          <w:color w:val="0070C0"/>
        </w:rPr>
        <w:t>(</w:t>
      </w:r>
      <w:r w:rsidRPr="002B792E">
        <w:rPr>
          <w:b/>
          <w:i/>
          <w:color w:val="0070C0"/>
        </w:rPr>
        <w:t>Geographic Coverage</w:t>
      </w:r>
      <w:r w:rsidRPr="002B792E">
        <w:rPr>
          <w:b/>
          <w:color w:val="0070C0"/>
        </w:rPr>
        <w:t>) + β</w:t>
      </w:r>
      <w:r w:rsidRPr="002B792E">
        <w:rPr>
          <w:b/>
          <w:color w:val="0070C0"/>
          <w:vertAlign w:val="subscript"/>
        </w:rPr>
        <w:t>4</w:t>
      </w:r>
      <w:r w:rsidRPr="002B792E">
        <w:rPr>
          <w:b/>
          <w:color w:val="0070C0"/>
        </w:rPr>
        <w:t>(</w:t>
      </w:r>
      <w:r w:rsidRPr="002B792E">
        <w:rPr>
          <w:b/>
          <w:i/>
          <w:color w:val="0070C0"/>
        </w:rPr>
        <w:t>Land Dispute Resolution</w:t>
      </w:r>
      <w:r w:rsidRPr="002B792E">
        <w:rPr>
          <w:b/>
          <w:color w:val="0070C0"/>
        </w:rPr>
        <w:t>) + β</w:t>
      </w:r>
      <w:r w:rsidRPr="002B792E">
        <w:rPr>
          <w:b/>
          <w:color w:val="0070C0"/>
          <w:vertAlign w:val="subscript"/>
        </w:rPr>
        <w:t>5</w:t>
      </w:r>
      <w:r w:rsidRPr="002B792E">
        <w:rPr>
          <w:b/>
          <w:color w:val="0070C0"/>
        </w:rPr>
        <w:t>(</w:t>
      </w:r>
      <w:r w:rsidRPr="002B792E">
        <w:rPr>
          <w:b/>
          <w:i/>
          <w:color w:val="0070C0"/>
        </w:rPr>
        <w:t>Population</w:t>
      </w:r>
      <w:r w:rsidRPr="002B792E">
        <w:rPr>
          <w:b/>
          <w:color w:val="0070C0"/>
        </w:rPr>
        <w:t>) + β</w:t>
      </w:r>
      <w:r w:rsidRPr="002B792E">
        <w:rPr>
          <w:b/>
          <w:color w:val="0070C0"/>
          <w:vertAlign w:val="subscript"/>
        </w:rPr>
        <w:t>6</w:t>
      </w:r>
      <w:r w:rsidRPr="002B792E">
        <w:rPr>
          <w:b/>
          <w:color w:val="0070C0"/>
        </w:rPr>
        <w:t>(</w:t>
      </w:r>
      <w:r w:rsidRPr="002B792E">
        <w:rPr>
          <w:b/>
          <w:i/>
          <w:color w:val="0070C0"/>
        </w:rPr>
        <w:t>Rural Population</w:t>
      </w:r>
      <w:r w:rsidRPr="002B792E">
        <w:rPr>
          <w:b/>
          <w:color w:val="0070C0"/>
        </w:rPr>
        <w:t>) +  u</w:t>
      </w:r>
      <w:r w:rsidRPr="002B792E">
        <w:rPr>
          <w:b/>
          <w:color w:val="0070C0"/>
          <w:vertAlign w:val="subscript"/>
        </w:rPr>
        <w:t>i</w:t>
      </w:r>
    </w:p>
    <w:p w14:paraId="27CFF8B4" w14:textId="77777777" w:rsidR="00316E23" w:rsidRDefault="00316E23" w:rsidP="00316E23">
      <w:pPr>
        <w:pStyle w:val="Heading3"/>
        <w:rPr>
          <w:rFonts w:ascii="Times New Roman" w:hAnsi="Times New Roman" w:cs="Times New Roman"/>
          <w:i/>
          <w:color w:val="4472C4" w:themeColor="accent1"/>
        </w:rPr>
      </w:pPr>
    </w:p>
    <w:p w14:paraId="7084CA09" w14:textId="77777777" w:rsidR="00316E23" w:rsidRPr="00E42E05" w:rsidRDefault="00316E23" w:rsidP="00E42E05">
      <w:pPr>
        <w:rPr>
          <w:rStyle w:val="mord"/>
          <w:i/>
          <w:color w:val="4472C4" w:themeColor="accent1"/>
        </w:rPr>
      </w:pPr>
      <w:r w:rsidRPr="00E42E05">
        <w:rPr>
          <w:i/>
          <w:color w:val="4472C4" w:themeColor="accent1"/>
        </w:rPr>
        <w:t>Figure 2. Hypothesis Test</w:t>
      </w:r>
    </w:p>
    <w:p w14:paraId="3147A166" w14:textId="77777777" w:rsidR="00316E23" w:rsidRPr="002B792E" w:rsidRDefault="00316E23" w:rsidP="00316E23">
      <w:pPr>
        <w:shd w:val="clear" w:color="auto" w:fill="DEEAF6" w:themeFill="accent5" w:themeFillTint="33"/>
        <w:jc w:val="center"/>
        <w:rPr>
          <w:b/>
          <w:color w:val="0070C0"/>
        </w:rPr>
      </w:pPr>
      <w:r w:rsidRPr="002B792E">
        <w:rPr>
          <w:b/>
          <w:iCs/>
          <w:color w:val="0070C0"/>
        </w:rPr>
        <w:t>H</w:t>
      </w:r>
      <w:r w:rsidRPr="002B792E">
        <w:rPr>
          <w:b/>
          <w:color w:val="0070C0"/>
          <w:vertAlign w:val="subscript"/>
        </w:rPr>
        <w:t>0</w:t>
      </w:r>
      <w:r w:rsidRPr="002B792E">
        <w:rPr>
          <w:b/>
          <w:color w:val="0070C0"/>
        </w:rPr>
        <w:t> : </w:t>
      </w:r>
      <w:r w:rsidRPr="002B792E">
        <w:rPr>
          <w:b/>
          <w:iCs/>
          <w:color w:val="0070C0"/>
        </w:rPr>
        <w:t>β</w:t>
      </w:r>
      <w:r w:rsidRPr="002B792E">
        <w:rPr>
          <w:b/>
          <w:color w:val="0070C0"/>
          <w:vertAlign w:val="subscript"/>
        </w:rPr>
        <w:t>1</w:t>
      </w:r>
      <w:r w:rsidRPr="002B792E">
        <w:rPr>
          <w:b/>
          <w:color w:val="0070C0"/>
        </w:rPr>
        <w:t> = </w:t>
      </w:r>
      <w:r w:rsidRPr="002B792E">
        <w:rPr>
          <w:b/>
          <w:iCs/>
          <w:color w:val="0070C0"/>
        </w:rPr>
        <w:t>β</w:t>
      </w:r>
      <w:r w:rsidRPr="002B792E">
        <w:rPr>
          <w:b/>
          <w:color w:val="0070C0"/>
          <w:vertAlign w:val="subscript"/>
        </w:rPr>
        <w:t>2</w:t>
      </w:r>
      <w:r w:rsidRPr="002B792E">
        <w:rPr>
          <w:b/>
          <w:color w:val="0070C0"/>
        </w:rPr>
        <w:t> = </w:t>
      </w:r>
      <w:r w:rsidRPr="002B792E">
        <w:rPr>
          <w:b/>
          <w:iCs/>
          <w:color w:val="0070C0"/>
        </w:rPr>
        <w:t>β</w:t>
      </w:r>
      <w:r w:rsidRPr="002B792E">
        <w:rPr>
          <w:b/>
          <w:color w:val="0070C0"/>
          <w:vertAlign w:val="subscript"/>
        </w:rPr>
        <w:t>3</w:t>
      </w:r>
      <w:r w:rsidRPr="002B792E">
        <w:rPr>
          <w:b/>
          <w:color w:val="0070C0"/>
        </w:rPr>
        <w:t> =</w:t>
      </w:r>
      <w:r w:rsidRPr="002B792E">
        <w:rPr>
          <w:b/>
          <w:iCs/>
          <w:color w:val="0070C0"/>
        </w:rPr>
        <w:t xml:space="preserve"> β</w:t>
      </w:r>
      <w:r w:rsidRPr="002B792E">
        <w:rPr>
          <w:b/>
          <w:color w:val="0070C0"/>
          <w:vertAlign w:val="subscript"/>
        </w:rPr>
        <w:t>4</w:t>
      </w:r>
      <w:r w:rsidRPr="002B792E">
        <w:rPr>
          <w:b/>
          <w:color w:val="0070C0"/>
        </w:rPr>
        <w:t xml:space="preserve"> = </w:t>
      </w:r>
      <w:r w:rsidRPr="002B792E">
        <w:rPr>
          <w:b/>
          <w:iCs/>
          <w:color w:val="0070C0"/>
        </w:rPr>
        <w:t>β</w:t>
      </w:r>
      <w:r w:rsidRPr="002B792E">
        <w:rPr>
          <w:b/>
          <w:color w:val="0070C0"/>
          <w:vertAlign w:val="subscript"/>
        </w:rPr>
        <w:t>5</w:t>
      </w:r>
      <w:r w:rsidRPr="002B792E">
        <w:rPr>
          <w:b/>
          <w:color w:val="0070C0"/>
        </w:rPr>
        <w:t xml:space="preserve"> = </w:t>
      </w:r>
      <w:r w:rsidRPr="002B792E">
        <w:rPr>
          <w:b/>
          <w:iCs/>
          <w:color w:val="0070C0"/>
        </w:rPr>
        <w:t>β</w:t>
      </w:r>
      <w:r w:rsidRPr="002B792E">
        <w:rPr>
          <w:b/>
          <w:color w:val="0070C0"/>
          <w:vertAlign w:val="subscript"/>
        </w:rPr>
        <w:t>6</w:t>
      </w:r>
      <w:r w:rsidRPr="002B792E">
        <w:rPr>
          <w:b/>
          <w:color w:val="0070C0"/>
        </w:rPr>
        <w:t> =  0</w:t>
      </w:r>
    </w:p>
    <w:p w14:paraId="24078FB6" w14:textId="77777777" w:rsidR="00316E23" w:rsidRPr="002B792E" w:rsidRDefault="00316E23" w:rsidP="00316E23">
      <w:pPr>
        <w:shd w:val="clear" w:color="auto" w:fill="DEEAF6" w:themeFill="accent5" w:themeFillTint="33"/>
        <w:jc w:val="center"/>
        <w:rPr>
          <w:b/>
          <w:color w:val="0070C0"/>
        </w:rPr>
      </w:pPr>
      <w:r w:rsidRPr="002B792E">
        <w:rPr>
          <w:b/>
          <w:iCs/>
          <w:color w:val="0070C0"/>
        </w:rPr>
        <w:t>H</w:t>
      </w:r>
      <w:r w:rsidRPr="002B792E">
        <w:rPr>
          <w:b/>
          <w:color w:val="0070C0"/>
          <w:vertAlign w:val="subscript"/>
        </w:rPr>
        <w:t>A</w:t>
      </w:r>
      <w:r w:rsidRPr="002B792E">
        <w:rPr>
          <w:b/>
          <w:color w:val="0070C0"/>
        </w:rPr>
        <w:t> : At least one </w:t>
      </w:r>
      <w:r w:rsidRPr="002B792E">
        <w:rPr>
          <w:b/>
          <w:iCs/>
          <w:color w:val="0070C0"/>
        </w:rPr>
        <w:t>β</w:t>
      </w:r>
      <w:r w:rsidRPr="002B792E">
        <w:rPr>
          <w:b/>
          <w:iCs/>
          <w:color w:val="0070C0"/>
          <w:vertAlign w:val="subscript"/>
        </w:rPr>
        <w:t>i</w:t>
      </w:r>
      <w:r w:rsidRPr="002B792E">
        <w:rPr>
          <w:b/>
          <w:color w:val="0070C0"/>
        </w:rPr>
        <w:t> ≠ 0 (for i = 1, 2, 3, 4, 5, 6)</w:t>
      </w:r>
    </w:p>
    <w:p w14:paraId="512101CC" w14:textId="77777777" w:rsidR="00316E23" w:rsidRPr="002B792E" w:rsidRDefault="00316E23" w:rsidP="00316E23">
      <w:pPr>
        <w:shd w:val="clear" w:color="auto" w:fill="DEEAF6" w:themeFill="accent5" w:themeFillTint="33"/>
        <w:jc w:val="center"/>
        <w:rPr>
          <w:b/>
          <w:color w:val="0070C0"/>
        </w:rPr>
      </w:pPr>
      <w:r w:rsidRPr="002B792E">
        <w:rPr>
          <w:b/>
          <w:color w:val="0070C0"/>
        </w:rPr>
        <w:t>α=0.0</w:t>
      </w:r>
      <w:r>
        <w:rPr>
          <w:b/>
          <w:color w:val="0070C0"/>
        </w:rPr>
        <w:t>5</w:t>
      </w:r>
    </w:p>
    <w:p w14:paraId="7A4ED04A" w14:textId="77777777" w:rsidR="00C57614" w:rsidRDefault="00C57614" w:rsidP="0068345C"/>
    <w:p w14:paraId="3C999747" w14:textId="77777777" w:rsidR="00C57614" w:rsidRDefault="00C57614" w:rsidP="0068345C"/>
    <w:p w14:paraId="6B4D43F3" w14:textId="77777777" w:rsidR="00C57614" w:rsidRDefault="00C57614" w:rsidP="0068345C"/>
    <w:p w14:paraId="0E34B439" w14:textId="77777777" w:rsidR="00C57614" w:rsidRDefault="00C57614" w:rsidP="0068345C"/>
    <w:p w14:paraId="16F29466" w14:textId="77777777" w:rsidR="00C57614" w:rsidRDefault="00C57614" w:rsidP="0068345C"/>
    <w:p w14:paraId="7333CE8A" w14:textId="77777777" w:rsidR="00C57614" w:rsidRDefault="00C57614" w:rsidP="0068345C"/>
    <w:p w14:paraId="25877AE5" w14:textId="77777777" w:rsidR="00C57614" w:rsidRDefault="00C57614" w:rsidP="0068345C"/>
    <w:p w14:paraId="59827948" w14:textId="77777777" w:rsidR="00C57614" w:rsidRDefault="00C57614" w:rsidP="0068345C"/>
    <w:p w14:paraId="7D73B40A" w14:textId="77777777" w:rsidR="00C57614" w:rsidRDefault="00C57614" w:rsidP="0068345C"/>
    <w:p w14:paraId="5ACEF19F" w14:textId="77777777" w:rsidR="00C57614" w:rsidRDefault="00C57614" w:rsidP="0068345C"/>
    <w:p w14:paraId="501842B1" w14:textId="77777777" w:rsidR="00C57614" w:rsidRDefault="00C57614" w:rsidP="0068345C"/>
    <w:p w14:paraId="4DC369A6" w14:textId="77777777" w:rsidR="00C57614" w:rsidRDefault="00C57614" w:rsidP="0068345C"/>
    <w:p w14:paraId="5CB8EDFA" w14:textId="77777777" w:rsidR="00C57614" w:rsidRDefault="00C57614" w:rsidP="0068345C"/>
    <w:p w14:paraId="3D8E8682" w14:textId="77777777" w:rsidR="00C57614" w:rsidRDefault="00C57614" w:rsidP="0068345C"/>
    <w:p w14:paraId="1FCAF847" w14:textId="77777777" w:rsidR="00C57614" w:rsidRDefault="00C57614" w:rsidP="0068345C"/>
    <w:p w14:paraId="48A38778" w14:textId="77777777" w:rsidR="00C57614" w:rsidRDefault="00C57614" w:rsidP="0068345C"/>
    <w:p w14:paraId="4490F1F7" w14:textId="77777777" w:rsidR="00C57614" w:rsidRDefault="00C57614" w:rsidP="0068345C"/>
    <w:p w14:paraId="079F75BD" w14:textId="77777777" w:rsidR="00C57614" w:rsidRDefault="00C57614" w:rsidP="0068345C"/>
    <w:p w14:paraId="0B748172" w14:textId="77777777" w:rsidR="00C57614" w:rsidRDefault="00C57614" w:rsidP="0068345C"/>
    <w:p w14:paraId="0F96A538" w14:textId="77777777" w:rsidR="00C57614" w:rsidRDefault="00C57614" w:rsidP="0068345C"/>
    <w:p w14:paraId="214D0EAB" w14:textId="77777777" w:rsidR="00C57614" w:rsidRDefault="00C57614" w:rsidP="0068345C"/>
    <w:p w14:paraId="243867E0" w14:textId="77777777" w:rsidR="00C57614" w:rsidRDefault="00C57614" w:rsidP="0068345C"/>
    <w:p w14:paraId="22F5C73B" w14:textId="77777777" w:rsidR="00C57614" w:rsidRDefault="00C57614" w:rsidP="0068345C"/>
    <w:p w14:paraId="49E8E784" w14:textId="77777777" w:rsidR="00C57614" w:rsidRDefault="00C57614" w:rsidP="0068345C"/>
    <w:p w14:paraId="07069EEE" w14:textId="77777777" w:rsidR="00C57614" w:rsidRDefault="00C57614" w:rsidP="0068345C"/>
    <w:p w14:paraId="240BBA20" w14:textId="77777777" w:rsidR="00C57614" w:rsidRDefault="00C57614" w:rsidP="0068345C"/>
    <w:p w14:paraId="70F010CC" w14:textId="77777777" w:rsidR="00AE3FBB" w:rsidRDefault="00AE3FBB" w:rsidP="0068345C"/>
    <w:p w14:paraId="44C164A2" w14:textId="77777777" w:rsidR="00EB5698" w:rsidRDefault="00EB5698" w:rsidP="0068345C"/>
    <w:p w14:paraId="4A3E84E0" w14:textId="77777777" w:rsidR="002751AE" w:rsidRDefault="002751AE" w:rsidP="0068345C"/>
    <w:p w14:paraId="593F7E5E" w14:textId="77777777" w:rsidR="00044DD4" w:rsidRDefault="00044DD4" w:rsidP="0068345C"/>
    <w:p w14:paraId="4D7D313B" w14:textId="77777777" w:rsidR="00684FD3" w:rsidRDefault="00684FD3" w:rsidP="0068345C"/>
    <w:p w14:paraId="56D676DB" w14:textId="77777777" w:rsidR="00316E23" w:rsidRDefault="00316E23" w:rsidP="0068345C"/>
    <w:p w14:paraId="7C9A81E7" w14:textId="77777777" w:rsidR="00B858DB" w:rsidRDefault="00B858DB" w:rsidP="00B858DB">
      <w:pPr>
        <w:rPr>
          <w:color w:val="000000" w:themeColor="text1"/>
          <w:sz w:val="20"/>
        </w:rPr>
      </w:pPr>
    </w:p>
    <w:p w14:paraId="4E766CA9" w14:textId="77777777" w:rsidR="002751AE" w:rsidRPr="002751AE" w:rsidRDefault="00AE3FBB" w:rsidP="002751AE">
      <w:pPr>
        <w:jc w:val="center"/>
        <w:rPr>
          <w:color w:val="000000" w:themeColor="text1"/>
          <w:sz w:val="20"/>
        </w:rPr>
      </w:pPr>
      <w:r>
        <w:rPr>
          <w:color w:val="000000" w:themeColor="text1"/>
          <w:sz w:val="20"/>
        </w:rPr>
        <w:t>v</w:t>
      </w:r>
    </w:p>
    <w:p w14:paraId="30335F0B" w14:textId="77777777" w:rsidR="00C57614" w:rsidRPr="00AE3FBB" w:rsidRDefault="00C57614" w:rsidP="00AE3FBB">
      <w:pPr>
        <w:rPr>
          <w:color w:val="000000" w:themeColor="text1"/>
          <w:sz w:val="20"/>
        </w:rPr>
      </w:pPr>
      <w:r w:rsidRPr="00316E23">
        <w:rPr>
          <w:rFonts w:ascii="Rockwell" w:hAnsi="Rockwell"/>
          <w:color w:val="2F5496" w:themeColor="accent1" w:themeShade="BF"/>
          <w:sz w:val="28"/>
          <w:szCs w:val="28"/>
        </w:rPr>
        <w:lastRenderedPageBreak/>
        <w:t>List of Tables</w:t>
      </w:r>
    </w:p>
    <w:p w14:paraId="3DD2060F" w14:textId="77777777" w:rsidR="00316E23" w:rsidRPr="00316E23" w:rsidRDefault="00316E23" w:rsidP="0068345C">
      <w:pPr>
        <w:rPr>
          <w:rFonts w:ascii="Rockwell" w:hAnsi="Rockwell"/>
          <w:color w:val="2F5496" w:themeColor="accent1" w:themeShade="BF"/>
          <w:sz w:val="28"/>
          <w:szCs w:val="28"/>
        </w:rPr>
      </w:pPr>
    </w:p>
    <w:p w14:paraId="3D3F37DA" w14:textId="77777777" w:rsidR="004938DC" w:rsidRPr="00F26FEF" w:rsidRDefault="004938DC" w:rsidP="004938DC">
      <w:pPr>
        <w:rPr>
          <w:i/>
          <w:color w:val="4472C4" w:themeColor="accent1"/>
        </w:rPr>
      </w:pPr>
      <w:r w:rsidRPr="00F26FEF">
        <w:rPr>
          <w:i/>
          <w:color w:val="4472C4" w:themeColor="accent1"/>
        </w:rPr>
        <w:t xml:space="preserve">Table </w:t>
      </w:r>
      <w:r w:rsidRPr="00F26FEF">
        <w:rPr>
          <w:i/>
          <w:color w:val="4472C4" w:themeColor="accent1"/>
        </w:rPr>
        <w:fldChar w:fldCharType="begin"/>
      </w:r>
      <w:r w:rsidRPr="00F26FEF">
        <w:rPr>
          <w:i/>
          <w:color w:val="4472C4" w:themeColor="accent1"/>
        </w:rPr>
        <w:instrText xml:space="preserve"> SEQ Table \* ARABIC </w:instrText>
      </w:r>
      <w:r w:rsidRPr="00F26FEF">
        <w:rPr>
          <w:i/>
          <w:color w:val="4472C4" w:themeColor="accent1"/>
        </w:rPr>
        <w:fldChar w:fldCharType="separate"/>
      </w:r>
      <w:r w:rsidRPr="00F26FEF">
        <w:rPr>
          <w:i/>
          <w:noProof/>
          <w:color w:val="4472C4" w:themeColor="accent1"/>
        </w:rPr>
        <w:t>1</w:t>
      </w:r>
      <w:r w:rsidRPr="00F26FEF">
        <w:rPr>
          <w:i/>
          <w:color w:val="4472C4" w:themeColor="accent1"/>
        </w:rPr>
        <w:fldChar w:fldCharType="end"/>
      </w:r>
      <w:r w:rsidRPr="00F26FEF">
        <w:rPr>
          <w:i/>
          <w:color w:val="4472C4" w:themeColor="accent1"/>
        </w:rPr>
        <w:t>. Initial Regression Model Fit</w:t>
      </w:r>
    </w:p>
    <w:tbl>
      <w:tblPr>
        <w:tblStyle w:val="TableGrid"/>
        <w:tblW w:w="0" w:type="auto"/>
        <w:tblLook w:val="04A0" w:firstRow="1" w:lastRow="0" w:firstColumn="1" w:lastColumn="0" w:noHBand="0" w:noVBand="1"/>
      </w:tblPr>
      <w:tblGrid>
        <w:gridCol w:w="1419"/>
        <w:gridCol w:w="2626"/>
      </w:tblGrid>
      <w:tr w:rsidR="004938DC" w14:paraId="09B1F281" w14:textId="77777777" w:rsidTr="00C275D1">
        <w:trPr>
          <w:trHeight w:val="476"/>
        </w:trPr>
        <w:tc>
          <w:tcPr>
            <w:tcW w:w="4045" w:type="dxa"/>
            <w:gridSpan w:val="2"/>
            <w:shd w:val="clear" w:color="auto" w:fill="DEEAF6" w:themeFill="accent5" w:themeFillTint="33"/>
            <w:vAlign w:val="center"/>
          </w:tcPr>
          <w:p w14:paraId="3D4E8E32" w14:textId="77777777" w:rsidR="004938DC" w:rsidRPr="00A142DD" w:rsidRDefault="004938DC" w:rsidP="00C275D1">
            <w:pPr>
              <w:jc w:val="center"/>
              <w:rPr>
                <w:rFonts w:ascii="Rockwell" w:hAnsi="Rockwell"/>
                <w:color w:val="2F5496" w:themeColor="accent1" w:themeShade="BF"/>
              </w:rPr>
            </w:pPr>
            <w:r>
              <w:rPr>
                <w:rFonts w:ascii="Rockwell" w:hAnsi="Rockwell"/>
                <w:color w:val="2F5496" w:themeColor="accent1" w:themeShade="BF"/>
              </w:rPr>
              <w:t>Initial</w:t>
            </w:r>
            <w:r w:rsidRPr="00A142DD">
              <w:rPr>
                <w:rFonts w:ascii="Rockwell" w:hAnsi="Rockwell"/>
                <w:color w:val="2F5496" w:themeColor="accent1" w:themeShade="BF"/>
              </w:rPr>
              <w:t xml:space="preserve"> Regression </w:t>
            </w:r>
            <w:r>
              <w:rPr>
                <w:rFonts w:ascii="Rockwell" w:hAnsi="Rockwell"/>
                <w:color w:val="2F5496" w:themeColor="accent1" w:themeShade="BF"/>
              </w:rPr>
              <w:t>Model Fit</w:t>
            </w:r>
          </w:p>
        </w:tc>
      </w:tr>
      <w:tr w:rsidR="004938DC" w14:paraId="054D75CA" w14:textId="77777777" w:rsidTr="00701123">
        <w:tc>
          <w:tcPr>
            <w:tcW w:w="0" w:type="auto"/>
          </w:tcPr>
          <w:p w14:paraId="0AB0E647" w14:textId="77777777" w:rsidR="004938DC" w:rsidRDefault="004938DC" w:rsidP="00C275D1">
            <w:r>
              <w:t>R</w:t>
            </w:r>
            <w:r>
              <w:rPr>
                <w:vertAlign w:val="superscript"/>
              </w:rPr>
              <w:t>2</w:t>
            </w:r>
          </w:p>
        </w:tc>
        <w:tc>
          <w:tcPr>
            <w:tcW w:w="2559" w:type="dxa"/>
            <w:vAlign w:val="center"/>
          </w:tcPr>
          <w:p w14:paraId="3F7EFA19" w14:textId="77777777" w:rsidR="004938DC" w:rsidRDefault="004938DC" w:rsidP="00C275D1">
            <w:pPr>
              <w:jc w:val="right"/>
            </w:pPr>
            <w:r>
              <w:t>0.715441</w:t>
            </w:r>
          </w:p>
        </w:tc>
      </w:tr>
      <w:tr w:rsidR="004938DC" w14:paraId="7AF61F9B" w14:textId="77777777" w:rsidTr="00701123">
        <w:tc>
          <w:tcPr>
            <w:tcW w:w="0" w:type="auto"/>
          </w:tcPr>
          <w:p w14:paraId="07AC7EA8" w14:textId="77777777" w:rsidR="004938DC" w:rsidRDefault="004938DC" w:rsidP="00C275D1">
            <w:r>
              <w:t>Adjusted R</w:t>
            </w:r>
            <w:r>
              <w:rPr>
                <w:vertAlign w:val="superscript"/>
              </w:rPr>
              <w:t>2</w:t>
            </w:r>
          </w:p>
        </w:tc>
        <w:tc>
          <w:tcPr>
            <w:tcW w:w="2559" w:type="dxa"/>
            <w:vAlign w:val="center"/>
          </w:tcPr>
          <w:p w14:paraId="7F83B650" w14:textId="77777777" w:rsidR="004938DC" w:rsidRDefault="004938DC" w:rsidP="00C275D1">
            <w:pPr>
              <w:jc w:val="right"/>
            </w:pPr>
            <w:r>
              <w:t>0.641208</w:t>
            </w:r>
          </w:p>
        </w:tc>
      </w:tr>
      <w:tr w:rsidR="004938DC" w14:paraId="58E85973" w14:textId="77777777" w:rsidTr="00701123">
        <w:tc>
          <w:tcPr>
            <w:tcW w:w="0" w:type="auto"/>
          </w:tcPr>
          <w:p w14:paraId="4F2789F3" w14:textId="77777777" w:rsidR="004938DC" w:rsidRDefault="004938DC" w:rsidP="00C275D1">
            <w:r>
              <w:t>RSS</w:t>
            </w:r>
          </w:p>
        </w:tc>
        <w:tc>
          <w:tcPr>
            <w:tcW w:w="2559" w:type="dxa"/>
            <w:vAlign w:val="center"/>
          </w:tcPr>
          <w:p w14:paraId="3AE406DF" w14:textId="77777777" w:rsidR="004938DC" w:rsidRDefault="004938DC" w:rsidP="00C275D1">
            <w:pPr>
              <w:jc w:val="right"/>
            </w:pPr>
            <w:r>
              <w:t>5565.4092</w:t>
            </w:r>
          </w:p>
        </w:tc>
      </w:tr>
      <w:tr w:rsidR="00701123" w14:paraId="3011951F" w14:textId="77777777" w:rsidTr="00701123">
        <w:tc>
          <w:tcPr>
            <w:tcW w:w="0" w:type="auto"/>
          </w:tcPr>
          <w:p w14:paraId="64BC72B5" w14:textId="77777777" w:rsidR="00701123" w:rsidRDefault="00701123" w:rsidP="00C275D1">
            <w:r>
              <w:t>F</w:t>
            </w:r>
          </w:p>
        </w:tc>
        <w:tc>
          <w:tcPr>
            <w:tcW w:w="2559" w:type="dxa"/>
            <w:vAlign w:val="center"/>
          </w:tcPr>
          <w:p w14:paraId="2C89731B" w14:textId="77777777" w:rsidR="00701123" w:rsidRDefault="00701123" w:rsidP="00C275D1">
            <w:pPr>
              <w:jc w:val="right"/>
            </w:pPr>
            <w:r>
              <w:t>9.638 [0.000]**</w:t>
            </w:r>
          </w:p>
        </w:tc>
      </w:tr>
    </w:tbl>
    <w:p w14:paraId="2D929696" w14:textId="77777777" w:rsidR="00701123" w:rsidRPr="00701123" w:rsidRDefault="00701123" w:rsidP="00701123">
      <w:pPr>
        <w:spacing w:line="360" w:lineRule="auto"/>
        <w:rPr>
          <w:i/>
          <w:color w:val="000000" w:themeColor="text1"/>
          <w:sz w:val="21"/>
        </w:rPr>
      </w:pPr>
      <w:r w:rsidRPr="00701123">
        <w:rPr>
          <w:i/>
          <w:color w:val="000000" w:themeColor="text1"/>
          <w:sz w:val="21"/>
        </w:rPr>
        <w:t xml:space="preserve">Note: ** indicate significance at α=0.01  </w:t>
      </w:r>
    </w:p>
    <w:p w14:paraId="6BA7C78A" w14:textId="77777777" w:rsidR="004938DC" w:rsidRDefault="004938DC" w:rsidP="004938DC"/>
    <w:p w14:paraId="1E9EEB2D" w14:textId="77777777" w:rsidR="004938DC" w:rsidRPr="00F26FEF" w:rsidRDefault="004938DC" w:rsidP="004938DC">
      <w:pPr>
        <w:rPr>
          <w:i/>
          <w:color w:val="4472C4" w:themeColor="accent1"/>
        </w:rPr>
      </w:pPr>
      <w:r w:rsidRPr="00F26FEF">
        <w:rPr>
          <w:i/>
          <w:color w:val="4472C4" w:themeColor="accent1"/>
        </w:rPr>
        <w:t>Table 2. Initial Regression Results</w:t>
      </w:r>
    </w:p>
    <w:tbl>
      <w:tblPr>
        <w:tblStyle w:val="TableGrid"/>
        <w:tblW w:w="0" w:type="auto"/>
        <w:tblLook w:val="04A0" w:firstRow="1" w:lastRow="0" w:firstColumn="1" w:lastColumn="0" w:noHBand="0" w:noVBand="1"/>
      </w:tblPr>
      <w:tblGrid>
        <w:gridCol w:w="3325"/>
        <w:gridCol w:w="1170"/>
        <w:gridCol w:w="1883"/>
        <w:gridCol w:w="974"/>
        <w:gridCol w:w="1052"/>
      </w:tblGrid>
      <w:tr w:rsidR="004938DC" w:rsidRPr="00CB7272" w14:paraId="1817EA44" w14:textId="77777777" w:rsidTr="00C275D1">
        <w:trPr>
          <w:trHeight w:val="512"/>
        </w:trPr>
        <w:tc>
          <w:tcPr>
            <w:tcW w:w="3325" w:type="dxa"/>
            <w:shd w:val="clear" w:color="auto" w:fill="DEEAF6" w:themeFill="accent5" w:themeFillTint="33"/>
            <w:vAlign w:val="center"/>
          </w:tcPr>
          <w:p w14:paraId="51B0E281" w14:textId="77777777" w:rsidR="004938DC" w:rsidRPr="00CB7272" w:rsidRDefault="004938DC" w:rsidP="00C275D1">
            <w:pPr>
              <w:spacing w:line="276" w:lineRule="auto"/>
              <w:jc w:val="center"/>
              <w:rPr>
                <w:rFonts w:ascii="Rockwell" w:hAnsi="Rockwell"/>
                <w:color w:val="2F5496" w:themeColor="accent1" w:themeShade="BF"/>
              </w:rPr>
            </w:pPr>
            <w:r w:rsidRPr="00CB7272">
              <w:rPr>
                <w:rFonts w:ascii="Rockwell" w:hAnsi="Rockwell"/>
                <w:color w:val="2F5496" w:themeColor="accent1" w:themeShade="BF"/>
              </w:rPr>
              <w:t>Term</w:t>
            </w:r>
          </w:p>
        </w:tc>
        <w:tc>
          <w:tcPr>
            <w:tcW w:w="1170" w:type="dxa"/>
            <w:shd w:val="clear" w:color="auto" w:fill="DEEAF6" w:themeFill="accent5" w:themeFillTint="33"/>
            <w:vAlign w:val="center"/>
          </w:tcPr>
          <w:p w14:paraId="09EE61CF" w14:textId="77777777" w:rsidR="004938DC" w:rsidRPr="00CB7272" w:rsidRDefault="004938DC" w:rsidP="00C275D1">
            <w:pPr>
              <w:spacing w:line="276" w:lineRule="auto"/>
              <w:jc w:val="center"/>
              <w:rPr>
                <w:rFonts w:ascii="Rockwell" w:hAnsi="Rockwell"/>
                <w:color w:val="2F5496" w:themeColor="accent1" w:themeShade="BF"/>
              </w:rPr>
            </w:pPr>
            <w:r w:rsidRPr="00CB7272">
              <w:rPr>
                <w:rFonts w:ascii="Rockwell" w:hAnsi="Rockwell"/>
                <w:color w:val="2F5496" w:themeColor="accent1" w:themeShade="BF"/>
              </w:rPr>
              <w:t>Estimate</w:t>
            </w:r>
          </w:p>
        </w:tc>
        <w:tc>
          <w:tcPr>
            <w:tcW w:w="1883" w:type="dxa"/>
            <w:shd w:val="clear" w:color="auto" w:fill="DEEAF6" w:themeFill="accent5" w:themeFillTint="33"/>
            <w:vAlign w:val="center"/>
          </w:tcPr>
          <w:p w14:paraId="192AE7BE" w14:textId="77777777" w:rsidR="004938DC" w:rsidRPr="00CB7272" w:rsidRDefault="004938DC" w:rsidP="00C275D1">
            <w:pPr>
              <w:spacing w:line="276" w:lineRule="auto"/>
              <w:jc w:val="center"/>
              <w:rPr>
                <w:rFonts w:ascii="Rockwell" w:hAnsi="Rockwell"/>
                <w:color w:val="2F5496" w:themeColor="accent1" w:themeShade="BF"/>
              </w:rPr>
            </w:pPr>
            <w:r w:rsidRPr="00CB7272">
              <w:rPr>
                <w:rFonts w:ascii="Rockwell" w:hAnsi="Rockwell"/>
                <w:color w:val="2F5496" w:themeColor="accent1" w:themeShade="BF"/>
              </w:rPr>
              <w:t>Standard Error</w:t>
            </w:r>
          </w:p>
        </w:tc>
        <w:tc>
          <w:tcPr>
            <w:tcW w:w="0" w:type="auto"/>
            <w:shd w:val="clear" w:color="auto" w:fill="DEEAF6" w:themeFill="accent5" w:themeFillTint="33"/>
            <w:vAlign w:val="center"/>
          </w:tcPr>
          <w:p w14:paraId="1E091794" w14:textId="77777777" w:rsidR="004938DC" w:rsidRPr="00CB7272" w:rsidRDefault="004938DC" w:rsidP="00C275D1">
            <w:pPr>
              <w:spacing w:line="276" w:lineRule="auto"/>
              <w:jc w:val="center"/>
              <w:rPr>
                <w:rFonts w:ascii="Rockwell" w:hAnsi="Rockwell"/>
                <w:color w:val="2F5496" w:themeColor="accent1" w:themeShade="BF"/>
              </w:rPr>
            </w:pPr>
            <w:r w:rsidRPr="00CB7272">
              <w:rPr>
                <w:rFonts w:ascii="Rockwell" w:hAnsi="Rockwell"/>
                <w:color w:val="2F5496" w:themeColor="accent1" w:themeShade="BF"/>
              </w:rPr>
              <w:t>t-value</w:t>
            </w:r>
          </w:p>
        </w:tc>
        <w:tc>
          <w:tcPr>
            <w:tcW w:w="0" w:type="auto"/>
            <w:shd w:val="clear" w:color="auto" w:fill="DEEAF6" w:themeFill="accent5" w:themeFillTint="33"/>
            <w:vAlign w:val="center"/>
          </w:tcPr>
          <w:p w14:paraId="5DDA3B0B" w14:textId="77777777" w:rsidR="004938DC" w:rsidRPr="00CB7272" w:rsidRDefault="004938DC" w:rsidP="00C275D1">
            <w:pPr>
              <w:spacing w:line="276" w:lineRule="auto"/>
              <w:jc w:val="center"/>
              <w:rPr>
                <w:rFonts w:ascii="Rockwell" w:hAnsi="Rockwell"/>
                <w:color w:val="2F5496" w:themeColor="accent1" w:themeShade="BF"/>
              </w:rPr>
            </w:pPr>
            <w:r w:rsidRPr="00CB7272">
              <w:rPr>
                <w:rFonts w:ascii="Rockwell" w:hAnsi="Rockwell"/>
                <w:color w:val="2F5496" w:themeColor="accent1" w:themeShade="BF"/>
              </w:rPr>
              <w:t>p-value</w:t>
            </w:r>
          </w:p>
        </w:tc>
      </w:tr>
      <w:tr w:rsidR="004938DC" w:rsidRPr="00D65137" w14:paraId="417371B9" w14:textId="77777777" w:rsidTr="00C275D1">
        <w:tc>
          <w:tcPr>
            <w:tcW w:w="3325" w:type="dxa"/>
            <w:vAlign w:val="bottom"/>
          </w:tcPr>
          <w:p w14:paraId="6883014D" w14:textId="77777777" w:rsidR="004938DC" w:rsidRPr="002B792E" w:rsidRDefault="004938DC" w:rsidP="00C275D1">
            <w:pPr>
              <w:spacing w:line="276" w:lineRule="auto"/>
              <w:rPr>
                <w:i/>
              </w:rPr>
            </w:pPr>
            <w:r w:rsidRPr="002B792E">
              <w:rPr>
                <w:i/>
              </w:rPr>
              <w:t>Constant</w:t>
            </w:r>
          </w:p>
        </w:tc>
        <w:tc>
          <w:tcPr>
            <w:tcW w:w="1170" w:type="dxa"/>
            <w:vAlign w:val="center"/>
          </w:tcPr>
          <w:p w14:paraId="04D5D592" w14:textId="77777777" w:rsidR="004938DC" w:rsidRPr="00D65137" w:rsidRDefault="004938DC" w:rsidP="00C275D1">
            <w:pPr>
              <w:spacing w:line="276" w:lineRule="auto"/>
              <w:jc w:val="right"/>
              <w:rPr>
                <w:color w:val="000000"/>
              </w:rPr>
            </w:pPr>
            <w:r w:rsidRPr="00D65137">
              <w:rPr>
                <w:color w:val="000000"/>
              </w:rPr>
              <w:t>35.654</w:t>
            </w:r>
          </w:p>
        </w:tc>
        <w:tc>
          <w:tcPr>
            <w:tcW w:w="1883" w:type="dxa"/>
            <w:vAlign w:val="center"/>
          </w:tcPr>
          <w:p w14:paraId="1A6EF96A" w14:textId="77777777" w:rsidR="004938DC" w:rsidRPr="00D65137" w:rsidRDefault="004938DC" w:rsidP="00C275D1">
            <w:pPr>
              <w:spacing w:line="276" w:lineRule="auto"/>
              <w:jc w:val="right"/>
              <w:rPr>
                <w:color w:val="000000"/>
              </w:rPr>
            </w:pPr>
            <w:r w:rsidRPr="00D65137">
              <w:rPr>
                <w:color w:val="000000"/>
              </w:rPr>
              <w:t>16.112</w:t>
            </w:r>
          </w:p>
        </w:tc>
        <w:tc>
          <w:tcPr>
            <w:tcW w:w="0" w:type="auto"/>
            <w:vAlign w:val="center"/>
          </w:tcPr>
          <w:p w14:paraId="2E6313E7" w14:textId="77777777" w:rsidR="004938DC" w:rsidRPr="00D65137" w:rsidRDefault="004938DC" w:rsidP="00C275D1">
            <w:pPr>
              <w:spacing w:line="276" w:lineRule="auto"/>
              <w:jc w:val="right"/>
              <w:rPr>
                <w:color w:val="000000"/>
              </w:rPr>
            </w:pPr>
            <w:r w:rsidRPr="00D65137">
              <w:rPr>
                <w:color w:val="000000"/>
              </w:rPr>
              <w:t>2.213</w:t>
            </w:r>
          </w:p>
        </w:tc>
        <w:tc>
          <w:tcPr>
            <w:tcW w:w="0" w:type="auto"/>
            <w:vAlign w:val="center"/>
          </w:tcPr>
          <w:p w14:paraId="29FF47D5" w14:textId="77777777" w:rsidR="004938DC" w:rsidRPr="00D65137" w:rsidRDefault="004938DC" w:rsidP="00C275D1">
            <w:pPr>
              <w:spacing w:line="276" w:lineRule="auto"/>
              <w:jc w:val="right"/>
              <w:rPr>
                <w:color w:val="000000"/>
              </w:rPr>
            </w:pPr>
            <w:r w:rsidRPr="00D65137">
              <w:rPr>
                <w:color w:val="000000"/>
              </w:rPr>
              <w:t>0.037</w:t>
            </w:r>
          </w:p>
        </w:tc>
      </w:tr>
      <w:tr w:rsidR="004938DC" w:rsidRPr="00D65137" w14:paraId="42AA88BE" w14:textId="77777777" w:rsidTr="00C275D1">
        <w:tc>
          <w:tcPr>
            <w:tcW w:w="3325" w:type="dxa"/>
            <w:vAlign w:val="bottom"/>
          </w:tcPr>
          <w:p w14:paraId="04DE9AA8" w14:textId="77777777" w:rsidR="004938DC" w:rsidRPr="002B792E" w:rsidRDefault="004938DC" w:rsidP="00C275D1">
            <w:pPr>
              <w:spacing w:line="276" w:lineRule="auto"/>
              <w:rPr>
                <w:i/>
              </w:rPr>
            </w:pPr>
            <w:r w:rsidRPr="002B792E">
              <w:rPr>
                <w:i/>
              </w:rPr>
              <w:t>Reliability of Infrastructure</w:t>
            </w:r>
          </w:p>
        </w:tc>
        <w:tc>
          <w:tcPr>
            <w:tcW w:w="1170" w:type="dxa"/>
            <w:vAlign w:val="center"/>
          </w:tcPr>
          <w:p w14:paraId="6ADFC757" w14:textId="77777777" w:rsidR="004938DC" w:rsidRPr="00D65137" w:rsidRDefault="004938DC" w:rsidP="00C275D1">
            <w:pPr>
              <w:spacing w:line="276" w:lineRule="auto"/>
              <w:jc w:val="right"/>
              <w:rPr>
                <w:color w:val="000000"/>
              </w:rPr>
            </w:pPr>
            <w:r w:rsidRPr="00D65137">
              <w:rPr>
                <w:color w:val="000000"/>
              </w:rPr>
              <w:t>-98.818</w:t>
            </w:r>
          </w:p>
        </w:tc>
        <w:tc>
          <w:tcPr>
            <w:tcW w:w="1883" w:type="dxa"/>
            <w:vAlign w:val="center"/>
          </w:tcPr>
          <w:p w14:paraId="25EF4A2B" w14:textId="77777777" w:rsidR="004938DC" w:rsidRPr="00D65137" w:rsidRDefault="004938DC" w:rsidP="00C275D1">
            <w:pPr>
              <w:spacing w:line="276" w:lineRule="auto"/>
              <w:jc w:val="right"/>
              <w:rPr>
                <w:color w:val="000000"/>
              </w:rPr>
            </w:pPr>
            <w:r w:rsidRPr="00D65137">
              <w:rPr>
                <w:color w:val="000000"/>
              </w:rPr>
              <w:t>28.729</w:t>
            </w:r>
          </w:p>
        </w:tc>
        <w:tc>
          <w:tcPr>
            <w:tcW w:w="0" w:type="auto"/>
            <w:vAlign w:val="center"/>
          </w:tcPr>
          <w:p w14:paraId="67FD2D4F" w14:textId="77777777" w:rsidR="004938DC" w:rsidRPr="00D65137" w:rsidRDefault="004938DC" w:rsidP="00C275D1">
            <w:pPr>
              <w:spacing w:line="276" w:lineRule="auto"/>
              <w:jc w:val="right"/>
              <w:rPr>
                <w:color w:val="000000"/>
              </w:rPr>
            </w:pPr>
            <w:r w:rsidRPr="00D65137">
              <w:rPr>
                <w:color w:val="000000"/>
              </w:rPr>
              <w:t>-3.440</w:t>
            </w:r>
          </w:p>
        </w:tc>
        <w:tc>
          <w:tcPr>
            <w:tcW w:w="0" w:type="auto"/>
            <w:vAlign w:val="center"/>
          </w:tcPr>
          <w:p w14:paraId="76C019CB" w14:textId="77777777" w:rsidR="004938DC" w:rsidRPr="00D65137" w:rsidRDefault="004938DC" w:rsidP="00C275D1">
            <w:pPr>
              <w:spacing w:line="276" w:lineRule="auto"/>
              <w:jc w:val="right"/>
              <w:rPr>
                <w:color w:val="000000"/>
              </w:rPr>
            </w:pPr>
            <w:r w:rsidRPr="00D65137">
              <w:rPr>
                <w:color w:val="000000"/>
              </w:rPr>
              <w:t>0.002</w:t>
            </w:r>
          </w:p>
        </w:tc>
      </w:tr>
      <w:tr w:rsidR="004938DC" w:rsidRPr="00D65137" w14:paraId="225262F3" w14:textId="77777777" w:rsidTr="00C275D1">
        <w:tc>
          <w:tcPr>
            <w:tcW w:w="3325" w:type="dxa"/>
            <w:vAlign w:val="bottom"/>
          </w:tcPr>
          <w:p w14:paraId="234CAE94" w14:textId="77777777" w:rsidR="004938DC" w:rsidRPr="002B792E" w:rsidRDefault="004938DC" w:rsidP="00C275D1">
            <w:pPr>
              <w:spacing w:line="276" w:lineRule="auto"/>
              <w:rPr>
                <w:i/>
              </w:rPr>
            </w:pPr>
            <w:r w:rsidRPr="002B792E">
              <w:rPr>
                <w:i/>
              </w:rPr>
              <w:t>Transparency of Information</w:t>
            </w:r>
          </w:p>
        </w:tc>
        <w:tc>
          <w:tcPr>
            <w:tcW w:w="1170" w:type="dxa"/>
            <w:vAlign w:val="center"/>
          </w:tcPr>
          <w:p w14:paraId="4FD2172A" w14:textId="77777777" w:rsidR="004938DC" w:rsidRPr="00D65137" w:rsidRDefault="004938DC" w:rsidP="00C275D1">
            <w:pPr>
              <w:spacing w:line="276" w:lineRule="auto"/>
              <w:jc w:val="right"/>
              <w:rPr>
                <w:color w:val="000000"/>
              </w:rPr>
            </w:pPr>
            <w:r w:rsidRPr="00D65137">
              <w:rPr>
                <w:color w:val="000000"/>
              </w:rPr>
              <w:t>99.388</w:t>
            </w:r>
          </w:p>
        </w:tc>
        <w:tc>
          <w:tcPr>
            <w:tcW w:w="1883" w:type="dxa"/>
            <w:vAlign w:val="center"/>
          </w:tcPr>
          <w:p w14:paraId="49CF9753" w14:textId="77777777" w:rsidR="004938DC" w:rsidRPr="00D65137" w:rsidRDefault="004938DC" w:rsidP="00C275D1">
            <w:pPr>
              <w:spacing w:line="276" w:lineRule="auto"/>
              <w:jc w:val="right"/>
              <w:rPr>
                <w:color w:val="000000"/>
              </w:rPr>
            </w:pPr>
            <w:r w:rsidRPr="00D65137">
              <w:rPr>
                <w:color w:val="000000"/>
              </w:rPr>
              <w:t>28.736</w:t>
            </w:r>
          </w:p>
        </w:tc>
        <w:tc>
          <w:tcPr>
            <w:tcW w:w="0" w:type="auto"/>
            <w:vAlign w:val="center"/>
          </w:tcPr>
          <w:p w14:paraId="3BED28AA" w14:textId="77777777" w:rsidR="004938DC" w:rsidRPr="00D65137" w:rsidRDefault="004938DC" w:rsidP="00C275D1">
            <w:pPr>
              <w:spacing w:line="276" w:lineRule="auto"/>
              <w:jc w:val="right"/>
              <w:rPr>
                <w:color w:val="000000"/>
              </w:rPr>
            </w:pPr>
            <w:r w:rsidRPr="00D65137">
              <w:rPr>
                <w:color w:val="000000"/>
              </w:rPr>
              <w:t>3.459</w:t>
            </w:r>
          </w:p>
        </w:tc>
        <w:tc>
          <w:tcPr>
            <w:tcW w:w="0" w:type="auto"/>
            <w:vAlign w:val="center"/>
          </w:tcPr>
          <w:p w14:paraId="143DCF9C" w14:textId="77777777" w:rsidR="004938DC" w:rsidRPr="00D65137" w:rsidRDefault="004938DC" w:rsidP="00C275D1">
            <w:pPr>
              <w:spacing w:line="276" w:lineRule="auto"/>
              <w:jc w:val="right"/>
              <w:rPr>
                <w:color w:val="000000"/>
              </w:rPr>
            </w:pPr>
            <w:r w:rsidRPr="00D65137">
              <w:rPr>
                <w:color w:val="000000"/>
              </w:rPr>
              <w:t>0.002</w:t>
            </w:r>
          </w:p>
        </w:tc>
      </w:tr>
      <w:tr w:rsidR="004938DC" w:rsidRPr="00D65137" w14:paraId="7D8113FF" w14:textId="77777777" w:rsidTr="00C275D1">
        <w:tc>
          <w:tcPr>
            <w:tcW w:w="3325" w:type="dxa"/>
            <w:vAlign w:val="bottom"/>
          </w:tcPr>
          <w:p w14:paraId="4DAABE7F" w14:textId="77777777" w:rsidR="004938DC" w:rsidRPr="002B792E" w:rsidRDefault="004938DC" w:rsidP="00C275D1">
            <w:pPr>
              <w:spacing w:line="276" w:lineRule="auto"/>
              <w:rPr>
                <w:i/>
              </w:rPr>
            </w:pPr>
            <w:r w:rsidRPr="002B792E">
              <w:rPr>
                <w:i/>
              </w:rPr>
              <w:t>Geographic Coverage</w:t>
            </w:r>
          </w:p>
        </w:tc>
        <w:tc>
          <w:tcPr>
            <w:tcW w:w="1170" w:type="dxa"/>
            <w:vAlign w:val="center"/>
          </w:tcPr>
          <w:p w14:paraId="2A5AED26" w14:textId="77777777" w:rsidR="004938DC" w:rsidRPr="00D65137" w:rsidRDefault="004938DC" w:rsidP="00C275D1">
            <w:pPr>
              <w:spacing w:line="276" w:lineRule="auto"/>
              <w:jc w:val="right"/>
              <w:rPr>
                <w:color w:val="000000"/>
              </w:rPr>
            </w:pPr>
            <w:r w:rsidRPr="00D65137">
              <w:rPr>
                <w:color w:val="000000"/>
              </w:rPr>
              <w:t>3.455</w:t>
            </w:r>
          </w:p>
        </w:tc>
        <w:tc>
          <w:tcPr>
            <w:tcW w:w="1883" w:type="dxa"/>
            <w:vAlign w:val="center"/>
          </w:tcPr>
          <w:p w14:paraId="7D488A91" w14:textId="77777777" w:rsidR="004938DC" w:rsidRPr="00D65137" w:rsidRDefault="004938DC" w:rsidP="00C275D1">
            <w:pPr>
              <w:spacing w:line="276" w:lineRule="auto"/>
              <w:jc w:val="right"/>
              <w:rPr>
                <w:color w:val="000000"/>
              </w:rPr>
            </w:pPr>
            <w:r w:rsidRPr="00D65137">
              <w:rPr>
                <w:color w:val="000000"/>
              </w:rPr>
              <w:t>1.670</w:t>
            </w:r>
          </w:p>
        </w:tc>
        <w:tc>
          <w:tcPr>
            <w:tcW w:w="0" w:type="auto"/>
            <w:vAlign w:val="center"/>
          </w:tcPr>
          <w:p w14:paraId="62F8CC9E" w14:textId="77777777" w:rsidR="004938DC" w:rsidRPr="00D65137" w:rsidRDefault="004938DC" w:rsidP="00C275D1">
            <w:pPr>
              <w:spacing w:line="276" w:lineRule="auto"/>
              <w:jc w:val="right"/>
              <w:rPr>
                <w:color w:val="000000"/>
              </w:rPr>
            </w:pPr>
            <w:r w:rsidRPr="00D65137">
              <w:rPr>
                <w:color w:val="000000"/>
              </w:rPr>
              <w:t>2.068</w:t>
            </w:r>
          </w:p>
        </w:tc>
        <w:tc>
          <w:tcPr>
            <w:tcW w:w="0" w:type="auto"/>
            <w:vAlign w:val="center"/>
          </w:tcPr>
          <w:p w14:paraId="7DCEB19F" w14:textId="77777777" w:rsidR="004938DC" w:rsidRPr="00D65137" w:rsidRDefault="004938DC" w:rsidP="00C275D1">
            <w:pPr>
              <w:spacing w:line="276" w:lineRule="auto"/>
              <w:jc w:val="right"/>
              <w:rPr>
                <w:color w:val="000000"/>
              </w:rPr>
            </w:pPr>
            <w:r w:rsidRPr="00D65137">
              <w:rPr>
                <w:color w:val="000000"/>
              </w:rPr>
              <w:t>0.050</w:t>
            </w:r>
          </w:p>
        </w:tc>
      </w:tr>
      <w:tr w:rsidR="004938DC" w:rsidRPr="00D65137" w14:paraId="36F272D4" w14:textId="77777777" w:rsidTr="00C275D1">
        <w:tc>
          <w:tcPr>
            <w:tcW w:w="3325" w:type="dxa"/>
            <w:vAlign w:val="bottom"/>
          </w:tcPr>
          <w:p w14:paraId="5BE92BED" w14:textId="77777777" w:rsidR="004938DC" w:rsidRPr="002B792E" w:rsidRDefault="004938DC" w:rsidP="00C275D1">
            <w:pPr>
              <w:spacing w:line="276" w:lineRule="auto"/>
              <w:rPr>
                <w:i/>
              </w:rPr>
            </w:pPr>
            <w:r w:rsidRPr="002B792E">
              <w:rPr>
                <w:i/>
              </w:rPr>
              <w:t>Land Dispute Resolution</w:t>
            </w:r>
          </w:p>
        </w:tc>
        <w:tc>
          <w:tcPr>
            <w:tcW w:w="1170" w:type="dxa"/>
            <w:vAlign w:val="center"/>
          </w:tcPr>
          <w:p w14:paraId="1B46FA8B" w14:textId="77777777" w:rsidR="004938DC" w:rsidRPr="00D65137" w:rsidRDefault="004938DC" w:rsidP="00C275D1">
            <w:pPr>
              <w:spacing w:line="276" w:lineRule="auto"/>
              <w:jc w:val="right"/>
              <w:rPr>
                <w:color w:val="000000"/>
              </w:rPr>
            </w:pPr>
            <w:r w:rsidRPr="00D65137">
              <w:rPr>
                <w:color w:val="000000"/>
              </w:rPr>
              <w:t>2.660</w:t>
            </w:r>
          </w:p>
        </w:tc>
        <w:tc>
          <w:tcPr>
            <w:tcW w:w="1883" w:type="dxa"/>
            <w:vAlign w:val="center"/>
          </w:tcPr>
          <w:p w14:paraId="0D065900" w14:textId="77777777" w:rsidR="004938DC" w:rsidRPr="00D65137" w:rsidRDefault="004938DC" w:rsidP="00C275D1">
            <w:pPr>
              <w:spacing w:line="276" w:lineRule="auto"/>
              <w:jc w:val="right"/>
              <w:rPr>
                <w:color w:val="000000"/>
              </w:rPr>
            </w:pPr>
            <w:r w:rsidRPr="00D65137">
              <w:rPr>
                <w:color w:val="000000"/>
              </w:rPr>
              <w:t>3.066</w:t>
            </w:r>
          </w:p>
        </w:tc>
        <w:tc>
          <w:tcPr>
            <w:tcW w:w="0" w:type="auto"/>
            <w:vAlign w:val="center"/>
          </w:tcPr>
          <w:p w14:paraId="479118CF" w14:textId="77777777" w:rsidR="004938DC" w:rsidRPr="00D65137" w:rsidRDefault="004938DC" w:rsidP="00C275D1">
            <w:pPr>
              <w:spacing w:line="276" w:lineRule="auto"/>
              <w:jc w:val="right"/>
              <w:rPr>
                <w:color w:val="000000"/>
              </w:rPr>
            </w:pPr>
            <w:r w:rsidRPr="00D65137">
              <w:rPr>
                <w:color w:val="000000"/>
              </w:rPr>
              <w:t>0.868</w:t>
            </w:r>
          </w:p>
        </w:tc>
        <w:tc>
          <w:tcPr>
            <w:tcW w:w="0" w:type="auto"/>
            <w:vAlign w:val="center"/>
          </w:tcPr>
          <w:p w14:paraId="2471A5CD" w14:textId="77777777" w:rsidR="004938DC" w:rsidRPr="00D65137" w:rsidRDefault="004938DC" w:rsidP="00C275D1">
            <w:pPr>
              <w:spacing w:line="276" w:lineRule="auto"/>
              <w:jc w:val="right"/>
              <w:rPr>
                <w:color w:val="000000"/>
              </w:rPr>
            </w:pPr>
            <w:r w:rsidRPr="00D65137">
              <w:rPr>
                <w:color w:val="000000"/>
              </w:rPr>
              <w:t>0.395</w:t>
            </w:r>
          </w:p>
        </w:tc>
      </w:tr>
      <w:tr w:rsidR="004938DC" w:rsidRPr="00D65137" w14:paraId="46EDB93A" w14:textId="77777777" w:rsidTr="00C275D1">
        <w:tc>
          <w:tcPr>
            <w:tcW w:w="3325" w:type="dxa"/>
            <w:vAlign w:val="bottom"/>
          </w:tcPr>
          <w:p w14:paraId="0E2C0230" w14:textId="77777777" w:rsidR="004938DC" w:rsidRPr="002B792E" w:rsidRDefault="004938DC" w:rsidP="00C275D1">
            <w:pPr>
              <w:spacing w:line="276" w:lineRule="auto"/>
              <w:rPr>
                <w:i/>
              </w:rPr>
            </w:pPr>
            <w:r w:rsidRPr="002B792E">
              <w:rPr>
                <w:i/>
              </w:rPr>
              <w:t>Population</w:t>
            </w:r>
          </w:p>
        </w:tc>
        <w:tc>
          <w:tcPr>
            <w:tcW w:w="1170" w:type="dxa"/>
            <w:vAlign w:val="center"/>
          </w:tcPr>
          <w:p w14:paraId="495CB6BD" w14:textId="77777777" w:rsidR="004938DC" w:rsidRPr="00D65137" w:rsidRDefault="004938DC" w:rsidP="00C275D1">
            <w:pPr>
              <w:spacing w:line="276" w:lineRule="auto"/>
              <w:jc w:val="right"/>
              <w:rPr>
                <w:color w:val="000000"/>
              </w:rPr>
            </w:pPr>
            <w:r w:rsidRPr="00D65137">
              <w:rPr>
                <w:color w:val="000000"/>
              </w:rPr>
              <w:t>-0.000</w:t>
            </w:r>
          </w:p>
        </w:tc>
        <w:tc>
          <w:tcPr>
            <w:tcW w:w="1883" w:type="dxa"/>
            <w:vAlign w:val="center"/>
          </w:tcPr>
          <w:p w14:paraId="04DB5F8F" w14:textId="77777777" w:rsidR="004938DC" w:rsidRPr="00D65137" w:rsidRDefault="004938DC" w:rsidP="00C275D1">
            <w:pPr>
              <w:spacing w:line="276" w:lineRule="auto"/>
              <w:jc w:val="right"/>
              <w:rPr>
                <w:color w:val="000000"/>
              </w:rPr>
            </w:pPr>
            <w:r w:rsidRPr="00D65137">
              <w:rPr>
                <w:color w:val="000000"/>
              </w:rPr>
              <w:t>0.000</w:t>
            </w:r>
          </w:p>
        </w:tc>
        <w:tc>
          <w:tcPr>
            <w:tcW w:w="0" w:type="auto"/>
            <w:vAlign w:val="center"/>
          </w:tcPr>
          <w:p w14:paraId="6EED9DD4" w14:textId="77777777" w:rsidR="004938DC" w:rsidRPr="00D65137" w:rsidRDefault="004938DC" w:rsidP="00C275D1">
            <w:pPr>
              <w:spacing w:line="276" w:lineRule="auto"/>
              <w:jc w:val="right"/>
              <w:rPr>
                <w:color w:val="000000"/>
              </w:rPr>
            </w:pPr>
            <w:r w:rsidRPr="00D65137">
              <w:rPr>
                <w:color w:val="000000"/>
              </w:rPr>
              <w:t>-2.396</w:t>
            </w:r>
          </w:p>
        </w:tc>
        <w:tc>
          <w:tcPr>
            <w:tcW w:w="0" w:type="auto"/>
            <w:vAlign w:val="center"/>
          </w:tcPr>
          <w:p w14:paraId="2CCCC6A7" w14:textId="77777777" w:rsidR="004938DC" w:rsidRPr="00D65137" w:rsidRDefault="004938DC" w:rsidP="00C275D1">
            <w:pPr>
              <w:spacing w:line="276" w:lineRule="auto"/>
              <w:jc w:val="right"/>
              <w:rPr>
                <w:color w:val="000000"/>
              </w:rPr>
            </w:pPr>
            <w:r w:rsidRPr="00D65137">
              <w:rPr>
                <w:color w:val="000000"/>
              </w:rPr>
              <w:t>0.025</w:t>
            </w:r>
          </w:p>
        </w:tc>
      </w:tr>
      <w:tr w:rsidR="004938DC" w:rsidRPr="00D65137" w14:paraId="275AA714" w14:textId="77777777" w:rsidTr="00C275D1">
        <w:tc>
          <w:tcPr>
            <w:tcW w:w="3325" w:type="dxa"/>
            <w:vAlign w:val="bottom"/>
          </w:tcPr>
          <w:p w14:paraId="28E7C7A1" w14:textId="77777777" w:rsidR="004938DC" w:rsidRPr="002B792E" w:rsidRDefault="004938DC" w:rsidP="00C275D1">
            <w:pPr>
              <w:spacing w:line="276" w:lineRule="auto"/>
              <w:rPr>
                <w:i/>
              </w:rPr>
            </w:pPr>
            <w:r w:rsidRPr="002B792E">
              <w:rPr>
                <w:i/>
              </w:rPr>
              <w:t>Rural Population</w:t>
            </w:r>
          </w:p>
        </w:tc>
        <w:tc>
          <w:tcPr>
            <w:tcW w:w="1170" w:type="dxa"/>
            <w:vAlign w:val="center"/>
          </w:tcPr>
          <w:p w14:paraId="5EE231FF" w14:textId="77777777" w:rsidR="004938DC" w:rsidRPr="00D65137" w:rsidRDefault="004938DC" w:rsidP="00C275D1">
            <w:pPr>
              <w:spacing w:line="276" w:lineRule="auto"/>
              <w:jc w:val="right"/>
              <w:rPr>
                <w:color w:val="000000"/>
              </w:rPr>
            </w:pPr>
            <w:r w:rsidRPr="00D65137">
              <w:rPr>
                <w:color w:val="000000"/>
              </w:rPr>
              <w:t>-0.882</w:t>
            </w:r>
          </w:p>
        </w:tc>
        <w:tc>
          <w:tcPr>
            <w:tcW w:w="1883" w:type="dxa"/>
            <w:vAlign w:val="center"/>
          </w:tcPr>
          <w:p w14:paraId="26A4DA8E" w14:textId="77777777" w:rsidR="004938DC" w:rsidRPr="00D65137" w:rsidRDefault="004938DC" w:rsidP="00C275D1">
            <w:pPr>
              <w:spacing w:line="276" w:lineRule="auto"/>
              <w:jc w:val="right"/>
              <w:rPr>
                <w:color w:val="000000"/>
              </w:rPr>
            </w:pPr>
            <w:r w:rsidRPr="00D65137">
              <w:rPr>
                <w:color w:val="000000"/>
              </w:rPr>
              <w:t>0.168</w:t>
            </w:r>
          </w:p>
        </w:tc>
        <w:tc>
          <w:tcPr>
            <w:tcW w:w="0" w:type="auto"/>
            <w:vAlign w:val="center"/>
          </w:tcPr>
          <w:p w14:paraId="1D61480A" w14:textId="77777777" w:rsidR="004938DC" w:rsidRPr="00D65137" w:rsidRDefault="004938DC" w:rsidP="00C275D1">
            <w:pPr>
              <w:spacing w:line="276" w:lineRule="auto"/>
              <w:jc w:val="right"/>
              <w:rPr>
                <w:color w:val="000000"/>
              </w:rPr>
            </w:pPr>
            <w:r w:rsidRPr="00D65137">
              <w:rPr>
                <w:color w:val="000000"/>
              </w:rPr>
              <w:t>-5.260</w:t>
            </w:r>
          </w:p>
        </w:tc>
        <w:tc>
          <w:tcPr>
            <w:tcW w:w="0" w:type="auto"/>
            <w:vAlign w:val="center"/>
          </w:tcPr>
          <w:p w14:paraId="381561EE" w14:textId="77777777" w:rsidR="004938DC" w:rsidRPr="00D65137" w:rsidRDefault="004938DC" w:rsidP="00C275D1">
            <w:pPr>
              <w:spacing w:line="276" w:lineRule="auto"/>
              <w:jc w:val="right"/>
              <w:rPr>
                <w:color w:val="000000"/>
              </w:rPr>
            </w:pPr>
            <w:r w:rsidRPr="00D65137">
              <w:rPr>
                <w:color w:val="000000"/>
              </w:rPr>
              <w:t>0.000</w:t>
            </w:r>
          </w:p>
        </w:tc>
      </w:tr>
    </w:tbl>
    <w:p w14:paraId="5BC865E8" w14:textId="77777777" w:rsidR="004938DC" w:rsidRDefault="004938DC" w:rsidP="004938DC"/>
    <w:p w14:paraId="31FA659A" w14:textId="77777777" w:rsidR="004938DC" w:rsidRPr="00F26FEF" w:rsidRDefault="004938DC" w:rsidP="004938DC">
      <w:pPr>
        <w:rPr>
          <w:i/>
          <w:color w:val="4472C4" w:themeColor="accent1"/>
        </w:rPr>
      </w:pPr>
      <w:r w:rsidRPr="00F26FEF">
        <w:rPr>
          <w:i/>
          <w:color w:val="4472C4" w:themeColor="accent1"/>
        </w:rPr>
        <w:t>Table 3. Log-Adjusted Model Fit</w:t>
      </w:r>
    </w:p>
    <w:tbl>
      <w:tblPr>
        <w:tblStyle w:val="TableGrid"/>
        <w:tblW w:w="0" w:type="auto"/>
        <w:tblLook w:val="04A0" w:firstRow="1" w:lastRow="0" w:firstColumn="1" w:lastColumn="0" w:noHBand="0" w:noVBand="1"/>
      </w:tblPr>
      <w:tblGrid>
        <w:gridCol w:w="1615"/>
        <w:gridCol w:w="2404"/>
      </w:tblGrid>
      <w:tr w:rsidR="004938DC" w14:paraId="3D6BA66A" w14:textId="77777777" w:rsidTr="00C275D1">
        <w:trPr>
          <w:trHeight w:val="449"/>
        </w:trPr>
        <w:tc>
          <w:tcPr>
            <w:tcW w:w="4019" w:type="dxa"/>
            <w:gridSpan w:val="2"/>
            <w:shd w:val="clear" w:color="auto" w:fill="DEEAF6" w:themeFill="accent5" w:themeFillTint="33"/>
            <w:vAlign w:val="center"/>
          </w:tcPr>
          <w:p w14:paraId="6E188322" w14:textId="77777777" w:rsidR="004938DC" w:rsidRPr="00A142DD" w:rsidRDefault="004938DC" w:rsidP="00C275D1">
            <w:pPr>
              <w:jc w:val="center"/>
              <w:rPr>
                <w:rFonts w:ascii="Rockwell" w:hAnsi="Rockwell"/>
                <w:color w:val="2F5496" w:themeColor="accent1" w:themeShade="BF"/>
              </w:rPr>
            </w:pPr>
            <w:r>
              <w:rPr>
                <w:rFonts w:ascii="Rockwell" w:hAnsi="Rockwell"/>
                <w:color w:val="2F5496" w:themeColor="accent1" w:themeShade="BF"/>
              </w:rPr>
              <w:t>Log-Adjusted</w:t>
            </w:r>
            <w:r w:rsidRPr="00A142DD">
              <w:rPr>
                <w:rFonts w:ascii="Rockwell" w:hAnsi="Rockwell"/>
                <w:color w:val="2F5496" w:themeColor="accent1" w:themeShade="BF"/>
              </w:rPr>
              <w:t xml:space="preserve"> </w:t>
            </w:r>
            <w:r>
              <w:rPr>
                <w:rFonts w:ascii="Rockwell" w:hAnsi="Rockwell"/>
                <w:color w:val="2F5496" w:themeColor="accent1" w:themeShade="BF"/>
              </w:rPr>
              <w:t>Model Fit</w:t>
            </w:r>
          </w:p>
        </w:tc>
      </w:tr>
      <w:tr w:rsidR="004938DC" w14:paraId="6060CA86" w14:textId="77777777" w:rsidTr="00C275D1">
        <w:tc>
          <w:tcPr>
            <w:tcW w:w="1615" w:type="dxa"/>
          </w:tcPr>
          <w:p w14:paraId="65DBFC1C" w14:textId="77777777" w:rsidR="004938DC" w:rsidRDefault="004938DC" w:rsidP="00C275D1">
            <w:r>
              <w:t>R</w:t>
            </w:r>
            <w:r>
              <w:rPr>
                <w:vertAlign w:val="superscript"/>
              </w:rPr>
              <w:t>2</w:t>
            </w:r>
          </w:p>
        </w:tc>
        <w:tc>
          <w:tcPr>
            <w:tcW w:w="2404" w:type="dxa"/>
            <w:vAlign w:val="center"/>
          </w:tcPr>
          <w:p w14:paraId="4363A293" w14:textId="77777777" w:rsidR="004938DC" w:rsidRDefault="004938DC" w:rsidP="00C275D1">
            <w:pPr>
              <w:jc w:val="right"/>
            </w:pPr>
            <w:r>
              <w:t>0.747394</w:t>
            </w:r>
          </w:p>
        </w:tc>
      </w:tr>
      <w:tr w:rsidR="004938DC" w14:paraId="27433D41" w14:textId="77777777" w:rsidTr="00C275D1">
        <w:tc>
          <w:tcPr>
            <w:tcW w:w="1615" w:type="dxa"/>
          </w:tcPr>
          <w:p w14:paraId="7C4670CF" w14:textId="77777777" w:rsidR="004938DC" w:rsidRDefault="004938DC" w:rsidP="00C275D1">
            <w:r>
              <w:t>Adjusted R</w:t>
            </w:r>
            <w:r>
              <w:rPr>
                <w:vertAlign w:val="superscript"/>
              </w:rPr>
              <w:t>2</w:t>
            </w:r>
          </w:p>
        </w:tc>
        <w:tc>
          <w:tcPr>
            <w:tcW w:w="2404" w:type="dxa"/>
            <w:vAlign w:val="center"/>
          </w:tcPr>
          <w:p w14:paraId="3562B840" w14:textId="77777777" w:rsidR="004938DC" w:rsidRDefault="004938DC" w:rsidP="00C275D1">
            <w:pPr>
              <w:jc w:val="right"/>
            </w:pPr>
            <w:r>
              <w:t>0.681497</w:t>
            </w:r>
          </w:p>
        </w:tc>
      </w:tr>
      <w:tr w:rsidR="004938DC" w14:paraId="74732102" w14:textId="77777777" w:rsidTr="00C275D1">
        <w:tc>
          <w:tcPr>
            <w:tcW w:w="1615" w:type="dxa"/>
          </w:tcPr>
          <w:p w14:paraId="59919D76" w14:textId="77777777" w:rsidR="004938DC" w:rsidRDefault="004938DC" w:rsidP="00C275D1">
            <w:r>
              <w:t>RSS</w:t>
            </w:r>
          </w:p>
        </w:tc>
        <w:tc>
          <w:tcPr>
            <w:tcW w:w="2404" w:type="dxa"/>
            <w:vAlign w:val="center"/>
          </w:tcPr>
          <w:p w14:paraId="42529035" w14:textId="77777777" w:rsidR="004938DC" w:rsidRDefault="004938DC" w:rsidP="00C275D1">
            <w:pPr>
              <w:jc w:val="right"/>
            </w:pPr>
            <w:r>
              <w:t>4940.45771</w:t>
            </w:r>
          </w:p>
        </w:tc>
      </w:tr>
      <w:tr w:rsidR="00701123" w14:paraId="02EF2309" w14:textId="77777777" w:rsidTr="00C275D1">
        <w:tc>
          <w:tcPr>
            <w:tcW w:w="1615" w:type="dxa"/>
          </w:tcPr>
          <w:p w14:paraId="7FC64F2C" w14:textId="77777777" w:rsidR="00701123" w:rsidRDefault="00701123" w:rsidP="00C275D1">
            <w:r>
              <w:t>F</w:t>
            </w:r>
          </w:p>
        </w:tc>
        <w:tc>
          <w:tcPr>
            <w:tcW w:w="2404" w:type="dxa"/>
            <w:vAlign w:val="center"/>
          </w:tcPr>
          <w:p w14:paraId="75D83827" w14:textId="77777777" w:rsidR="00701123" w:rsidRDefault="00701123" w:rsidP="00C275D1">
            <w:pPr>
              <w:jc w:val="right"/>
            </w:pPr>
            <w:r>
              <w:t>11.34 [0.000]**</w:t>
            </w:r>
          </w:p>
        </w:tc>
      </w:tr>
    </w:tbl>
    <w:p w14:paraId="2B1FD548" w14:textId="77777777" w:rsidR="00701123" w:rsidRPr="00701123" w:rsidRDefault="00701123" w:rsidP="00701123">
      <w:pPr>
        <w:spacing w:line="360" w:lineRule="auto"/>
        <w:rPr>
          <w:i/>
          <w:sz w:val="21"/>
        </w:rPr>
      </w:pPr>
      <w:r w:rsidRPr="00701123">
        <w:rPr>
          <w:i/>
          <w:sz w:val="21"/>
        </w:rPr>
        <w:t xml:space="preserve">Note: ** indicate significance at </w:t>
      </w:r>
      <w:r w:rsidRPr="00701123">
        <w:rPr>
          <w:i/>
          <w:color w:val="000000" w:themeColor="text1"/>
          <w:sz w:val="21"/>
        </w:rPr>
        <w:t>α=</w:t>
      </w:r>
      <w:r w:rsidRPr="00701123">
        <w:rPr>
          <w:i/>
          <w:sz w:val="21"/>
        </w:rPr>
        <w:t xml:space="preserve">0.01  </w:t>
      </w:r>
    </w:p>
    <w:p w14:paraId="7F45E9CC" w14:textId="77777777" w:rsidR="004938DC" w:rsidRDefault="004938DC" w:rsidP="004938DC"/>
    <w:p w14:paraId="38272242" w14:textId="77777777" w:rsidR="004938DC" w:rsidRPr="00F26FEF" w:rsidRDefault="004938DC" w:rsidP="004938DC">
      <w:pPr>
        <w:rPr>
          <w:i/>
          <w:color w:val="4472C4" w:themeColor="accent1"/>
        </w:rPr>
      </w:pPr>
      <w:r w:rsidRPr="00F26FEF">
        <w:rPr>
          <w:i/>
          <w:color w:val="4472C4" w:themeColor="accent1"/>
        </w:rPr>
        <w:t>Table 4. Log-Adjusted Regression Results</w:t>
      </w:r>
    </w:p>
    <w:tbl>
      <w:tblPr>
        <w:tblStyle w:val="TableGrid"/>
        <w:tblW w:w="0" w:type="auto"/>
        <w:tblLook w:val="04A0" w:firstRow="1" w:lastRow="0" w:firstColumn="1" w:lastColumn="0" w:noHBand="0" w:noVBand="1"/>
      </w:tblPr>
      <w:tblGrid>
        <w:gridCol w:w="3310"/>
        <w:gridCol w:w="1164"/>
        <w:gridCol w:w="1857"/>
        <w:gridCol w:w="974"/>
        <w:gridCol w:w="1052"/>
      </w:tblGrid>
      <w:tr w:rsidR="004938DC" w:rsidRPr="00CB7272" w14:paraId="782E0977" w14:textId="77777777" w:rsidTr="00C275D1">
        <w:trPr>
          <w:trHeight w:val="557"/>
        </w:trPr>
        <w:tc>
          <w:tcPr>
            <w:tcW w:w="0" w:type="auto"/>
            <w:shd w:val="clear" w:color="auto" w:fill="DEEAF6" w:themeFill="accent5" w:themeFillTint="33"/>
            <w:vAlign w:val="center"/>
          </w:tcPr>
          <w:p w14:paraId="505A0E39" w14:textId="77777777" w:rsidR="004938DC" w:rsidRPr="00CB7272" w:rsidRDefault="004938DC" w:rsidP="00C275D1">
            <w:pPr>
              <w:spacing w:line="360" w:lineRule="auto"/>
              <w:jc w:val="center"/>
              <w:rPr>
                <w:rFonts w:ascii="Rockwell" w:hAnsi="Rockwell"/>
                <w:color w:val="2F5496" w:themeColor="accent1" w:themeShade="BF"/>
              </w:rPr>
            </w:pPr>
            <w:r w:rsidRPr="00CB7272">
              <w:rPr>
                <w:rFonts w:ascii="Rockwell" w:hAnsi="Rockwell"/>
                <w:color w:val="2F5496" w:themeColor="accent1" w:themeShade="BF"/>
              </w:rPr>
              <w:t>Term</w:t>
            </w:r>
          </w:p>
        </w:tc>
        <w:tc>
          <w:tcPr>
            <w:tcW w:w="0" w:type="auto"/>
            <w:shd w:val="clear" w:color="auto" w:fill="DEEAF6" w:themeFill="accent5" w:themeFillTint="33"/>
            <w:vAlign w:val="center"/>
          </w:tcPr>
          <w:p w14:paraId="29E08F27" w14:textId="77777777" w:rsidR="004938DC" w:rsidRPr="00CB7272" w:rsidRDefault="004938DC" w:rsidP="00C275D1">
            <w:pPr>
              <w:spacing w:line="360" w:lineRule="auto"/>
              <w:jc w:val="center"/>
              <w:rPr>
                <w:rFonts w:ascii="Rockwell" w:hAnsi="Rockwell"/>
                <w:color w:val="2F5496" w:themeColor="accent1" w:themeShade="BF"/>
              </w:rPr>
            </w:pPr>
            <w:r w:rsidRPr="00CB7272">
              <w:rPr>
                <w:rFonts w:ascii="Rockwell" w:hAnsi="Rockwell"/>
                <w:color w:val="2F5496" w:themeColor="accent1" w:themeShade="BF"/>
              </w:rPr>
              <w:t>Estimate</w:t>
            </w:r>
          </w:p>
        </w:tc>
        <w:tc>
          <w:tcPr>
            <w:tcW w:w="0" w:type="auto"/>
            <w:shd w:val="clear" w:color="auto" w:fill="DEEAF6" w:themeFill="accent5" w:themeFillTint="33"/>
            <w:vAlign w:val="center"/>
          </w:tcPr>
          <w:p w14:paraId="26E09AF8" w14:textId="77777777" w:rsidR="004938DC" w:rsidRPr="00CB7272" w:rsidRDefault="004938DC" w:rsidP="00C275D1">
            <w:pPr>
              <w:spacing w:line="360" w:lineRule="auto"/>
              <w:jc w:val="center"/>
              <w:rPr>
                <w:rFonts w:ascii="Rockwell" w:hAnsi="Rockwell"/>
                <w:color w:val="2F5496" w:themeColor="accent1" w:themeShade="BF"/>
              </w:rPr>
            </w:pPr>
            <w:r w:rsidRPr="00CB7272">
              <w:rPr>
                <w:rFonts w:ascii="Rockwell" w:hAnsi="Rockwell"/>
                <w:color w:val="2F5496" w:themeColor="accent1" w:themeShade="BF"/>
              </w:rPr>
              <w:t>Standard Error</w:t>
            </w:r>
          </w:p>
        </w:tc>
        <w:tc>
          <w:tcPr>
            <w:tcW w:w="0" w:type="auto"/>
            <w:shd w:val="clear" w:color="auto" w:fill="DEEAF6" w:themeFill="accent5" w:themeFillTint="33"/>
            <w:vAlign w:val="center"/>
          </w:tcPr>
          <w:p w14:paraId="11A5E0BB" w14:textId="77777777" w:rsidR="004938DC" w:rsidRPr="00CB7272" w:rsidRDefault="004938DC" w:rsidP="00C275D1">
            <w:pPr>
              <w:spacing w:line="360" w:lineRule="auto"/>
              <w:jc w:val="center"/>
              <w:rPr>
                <w:rFonts w:ascii="Rockwell" w:hAnsi="Rockwell"/>
                <w:color w:val="2F5496" w:themeColor="accent1" w:themeShade="BF"/>
              </w:rPr>
            </w:pPr>
            <w:r w:rsidRPr="00CB7272">
              <w:rPr>
                <w:rFonts w:ascii="Rockwell" w:hAnsi="Rockwell"/>
                <w:color w:val="2F5496" w:themeColor="accent1" w:themeShade="BF"/>
              </w:rPr>
              <w:t>t-value</w:t>
            </w:r>
          </w:p>
        </w:tc>
        <w:tc>
          <w:tcPr>
            <w:tcW w:w="0" w:type="auto"/>
            <w:shd w:val="clear" w:color="auto" w:fill="DEEAF6" w:themeFill="accent5" w:themeFillTint="33"/>
            <w:vAlign w:val="center"/>
          </w:tcPr>
          <w:p w14:paraId="23AB2819" w14:textId="77777777" w:rsidR="004938DC" w:rsidRPr="00CB7272" w:rsidRDefault="004938DC" w:rsidP="00C275D1">
            <w:pPr>
              <w:spacing w:line="360" w:lineRule="auto"/>
              <w:jc w:val="center"/>
              <w:rPr>
                <w:rFonts w:ascii="Rockwell" w:hAnsi="Rockwell"/>
                <w:color w:val="2F5496" w:themeColor="accent1" w:themeShade="BF"/>
              </w:rPr>
            </w:pPr>
            <w:r w:rsidRPr="00CB7272">
              <w:rPr>
                <w:rFonts w:ascii="Rockwell" w:hAnsi="Rockwell"/>
                <w:color w:val="2F5496" w:themeColor="accent1" w:themeShade="BF"/>
              </w:rPr>
              <w:t>p-value</w:t>
            </w:r>
          </w:p>
        </w:tc>
      </w:tr>
      <w:tr w:rsidR="004938DC" w:rsidRPr="00D65137" w14:paraId="17F1E652" w14:textId="77777777" w:rsidTr="00C275D1">
        <w:tc>
          <w:tcPr>
            <w:tcW w:w="0" w:type="auto"/>
            <w:vAlign w:val="bottom"/>
          </w:tcPr>
          <w:p w14:paraId="192E17E3" w14:textId="77777777" w:rsidR="004938DC" w:rsidRPr="002B792E" w:rsidRDefault="004938DC" w:rsidP="00C275D1">
            <w:pPr>
              <w:spacing w:line="276" w:lineRule="auto"/>
              <w:rPr>
                <w:i/>
              </w:rPr>
            </w:pPr>
            <w:r w:rsidRPr="002B792E">
              <w:rPr>
                <w:i/>
              </w:rPr>
              <w:t>Constant</w:t>
            </w:r>
          </w:p>
        </w:tc>
        <w:tc>
          <w:tcPr>
            <w:tcW w:w="0" w:type="auto"/>
            <w:vAlign w:val="center"/>
          </w:tcPr>
          <w:p w14:paraId="18572A79" w14:textId="77777777" w:rsidR="004938DC" w:rsidRPr="00D65137" w:rsidRDefault="004938DC" w:rsidP="00C275D1">
            <w:pPr>
              <w:spacing w:line="276" w:lineRule="auto"/>
              <w:jc w:val="right"/>
              <w:rPr>
                <w:color w:val="000000"/>
              </w:rPr>
            </w:pPr>
            <w:r w:rsidRPr="00D65137">
              <w:rPr>
                <w:color w:val="000000"/>
              </w:rPr>
              <w:t>102.823</w:t>
            </w:r>
          </w:p>
        </w:tc>
        <w:tc>
          <w:tcPr>
            <w:tcW w:w="0" w:type="auto"/>
            <w:vAlign w:val="center"/>
          </w:tcPr>
          <w:p w14:paraId="6305109D" w14:textId="77777777" w:rsidR="004938DC" w:rsidRPr="00D65137" w:rsidRDefault="004938DC" w:rsidP="00C275D1">
            <w:pPr>
              <w:spacing w:line="276" w:lineRule="auto"/>
              <w:jc w:val="right"/>
              <w:rPr>
                <w:color w:val="000000"/>
              </w:rPr>
            </w:pPr>
            <w:r w:rsidRPr="00D65137">
              <w:rPr>
                <w:color w:val="000000"/>
              </w:rPr>
              <w:t>39.408</w:t>
            </w:r>
          </w:p>
        </w:tc>
        <w:tc>
          <w:tcPr>
            <w:tcW w:w="0" w:type="auto"/>
            <w:vAlign w:val="center"/>
          </w:tcPr>
          <w:p w14:paraId="545B3AC4" w14:textId="77777777" w:rsidR="004938DC" w:rsidRPr="00995FE5" w:rsidRDefault="004938DC" w:rsidP="00C275D1">
            <w:pPr>
              <w:spacing w:line="276" w:lineRule="auto"/>
              <w:jc w:val="right"/>
              <w:rPr>
                <w:color w:val="000000"/>
              </w:rPr>
            </w:pPr>
            <w:r w:rsidRPr="00995FE5">
              <w:rPr>
                <w:color w:val="000000"/>
              </w:rPr>
              <w:t>2.609</w:t>
            </w:r>
          </w:p>
        </w:tc>
        <w:tc>
          <w:tcPr>
            <w:tcW w:w="0" w:type="auto"/>
            <w:vAlign w:val="center"/>
          </w:tcPr>
          <w:p w14:paraId="4AEA41FA" w14:textId="77777777" w:rsidR="004938DC" w:rsidRPr="00995FE5" w:rsidRDefault="004938DC" w:rsidP="00C275D1">
            <w:pPr>
              <w:spacing w:line="276" w:lineRule="auto"/>
              <w:jc w:val="right"/>
              <w:rPr>
                <w:color w:val="000000"/>
              </w:rPr>
            </w:pPr>
            <w:r w:rsidRPr="00995FE5">
              <w:rPr>
                <w:color w:val="000000"/>
              </w:rPr>
              <w:t>0.016</w:t>
            </w:r>
          </w:p>
        </w:tc>
      </w:tr>
      <w:tr w:rsidR="004938DC" w:rsidRPr="00D65137" w14:paraId="1A67FE9E" w14:textId="77777777" w:rsidTr="00C275D1">
        <w:tc>
          <w:tcPr>
            <w:tcW w:w="0" w:type="auto"/>
            <w:vAlign w:val="bottom"/>
          </w:tcPr>
          <w:p w14:paraId="361D8ABE" w14:textId="77777777" w:rsidR="004938DC" w:rsidRPr="002B792E" w:rsidRDefault="004938DC" w:rsidP="00C275D1">
            <w:pPr>
              <w:spacing w:line="276" w:lineRule="auto"/>
              <w:rPr>
                <w:i/>
              </w:rPr>
            </w:pPr>
            <w:r w:rsidRPr="002B792E">
              <w:rPr>
                <w:i/>
              </w:rPr>
              <w:t>ln_Reliability of Infrastructure</w:t>
            </w:r>
          </w:p>
        </w:tc>
        <w:tc>
          <w:tcPr>
            <w:tcW w:w="0" w:type="auto"/>
            <w:vAlign w:val="center"/>
          </w:tcPr>
          <w:p w14:paraId="26606248" w14:textId="77777777" w:rsidR="004938DC" w:rsidRPr="00D65137" w:rsidRDefault="004938DC" w:rsidP="00C275D1">
            <w:pPr>
              <w:spacing w:line="276" w:lineRule="auto"/>
              <w:jc w:val="right"/>
              <w:rPr>
                <w:color w:val="000000"/>
              </w:rPr>
            </w:pPr>
            <w:r w:rsidRPr="00D65137">
              <w:rPr>
                <w:color w:val="000000"/>
              </w:rPr>
              <w:t>-252.566</w:t>
            </w:r>
          </w:p>
        </w:tc>
        <w:tc>
          <w:tcPr>
            <w:tcW w:w="0" w:type="auto"/>
            <w:vAlign w:val="center"/>
          </w:tcPr>
          <w:p w14:paraId="5AA73407" w14:textId="77777777" w:rsidR="004938DC" w:rsidRPr="00D65137" w:rsidRDefault="004938DC" w:rsidP="00C275D1">
            <w:pPr>
              <w:spacing w:line="276" w:lineRule="auto"/>
              <w:jc w:val="right"/>
              <w:rPr>
                <w:color w:val="000000"/>
              </w:rPr>
            </w:pPr>
            <w:r w:rsidRPr="00D65137">
              <w:rPr>
                <w:color w:val="000000"/>
              </w:rPr>
              <w:t>96.812</w:t>
            </w:r>
          </w:p>
        </w:tc>
        <w:tc>
          <w:tcPr>
            <w:tcW w:w="0" w:type="auto"/>
            <w:vAlign w:val="center"/>
          </w:tcPr>
          <w:p w14:paraId="5B83E282" w14:textId="77777777" w:rsidR="004938DC" w:rsidRPr="00995FE5" w:rsidRDefault="004938DC" w:rsidP="00C275D1">
            <w:pPr>
              <w:spacing w:line="276" w:lineRule="auto"/>
              <w:jc w:val="right"/>
              <w:rPr>
                <w:color w:val="000000"/>
              </w:rPr>
            </w:pPr>
            <w:r w:rsidRPr="00995FE5">
              <w:rPr>
                <w:color w:val="000000"/>
              </w:rPr>
              <w:t>-2.609</w:t>
            </w:r>
          </w:p>
        </w:tc>
        <w:tc>
          <w:tcPr>
            <w:tcW w:w="0" w:type="auto"/>
            <w:vAlign w:val="center"/>
          </w:tcPr>
          <w:p w14:paraId="6D9579A1" w14:textId="77777777" w:rsidR="004938DC" w:rsidRPr="00995FE5" w:rsidRDefault="004938DC" w:rsidP="00C275D1">
            <w:pPr>
              <w:spacing w:line="276" w:lineRule="auto"/>
              <w:jc w:val="right"/>
              <w:rPr>
                <w:color w:val="000000"/>
              </w:rPr>
            </w:pPr>
            <w:r w:rsidRPr="00995FE5">
              <w:rPr>
                <w:color w:val="000000"/>
              </w:rPr>
              <w:t>0.016</w:t>
            </w:r>
          </w:p>
        </w:tc>
      </w:tr>
      <w:tr w:rsidR="004938DC" w:rsidRPr="00D65137" w14:paraId="560109DD" w14:textId="77777777" w:rsidTr="00C275D1">
        <w:tc>
          <w:tcPr>
            <w:tcW w:w="0" w:type="auto"/>
            <w:vAlign w:val="bottom"/>
          </w:tcPr>
          <w:p w14:paraId="229FA0E2" w14:textId="77777777" w:rsidR="004938DC" w:rsidRPr="002B792E" w:rsidRDefault="004938DC" w:rsidP="00C275D1">
            <w:pPr>
              <w:spacing w:line="276" w:lineRule="auto"/>
              <w:rPr>
                <w:i/>
              </w:rPr>
            </w:pPr>
            <w:r w:rsidRPr="002B792E">
              <w:rPr>
                <w:i/>
              </w:rPr>
              <w:t>ln_Transparency of Information</w:t>
            </w:r>
          </w:p>
        </w:tc>
        <w:tc>
          <w:tcPr>
            <w:tcW w:w="0" w:type="auto"/>
            <w:vAlign w:val="center"/>
          </w:tcPr>
          <w:p w14:paraId="60EBBB64" w14:textId="77777777" w:rsidR="004938DC" w:rsidRPr="00D65137" w:rsidRDefault="004938DC" w:rsidP="00C275D1">
            <w:pPr>
              <w:spacing w:line="276" w:lineRule="auto"/>
              <w:jc w:val="right"/>
              <w:rPr>
                <w:color w:val="000000"/>
              </w:rPr>
            </w:pPr>
            <w:r w:rsidRPr="00D65137">
              <w:rPr>
                <w:color w:val="000000"/>
              </w:rPr>
              <w:t>249.888</w:t>
            </w:r>
          </w:p>
        </w:tc>
        <w:tc>
          <w:tcPr>
            <w:tcW w:w="0" w:type="auto"/>
            <w:vAlign w:val="center"/>
          </w:tcPr>
          <w:p w14:paraId="4E80DB7F" w14:textId="77777777" w:rsidR="004938DC" w:rsidRPr="00D65137" w:rsidRDefault="004938DC" w:rsidP="00C275D1">
            <w:pPr>
              <w:spacing w:line="276" w:lineRule="auto"/>
              <w:jc w:val="right"/>
              <w:rPr>
                <w:color w:val="000000"/>
              </w:rPr>
            </w:pPr>
            <w:r w:rsidRPr="00D65137">
              <w:rPr>
                <w:color w:val="000000"/>
              </w:rPr>
              <w:t>95.940</w:t>
            </w:r>
          </w:p>
        </w:tc>
        <w:tc>
          <w:tcPr>
            <w:tcW w:w="0" w:type="auto"/>
            <w:vAlign w:val="center"/>
          </w:tcPr>
          <w:p w14:paraId="40716DC1" w14:textId="77777777" w:rsidR="004938DC" w:rsidRPr="00995FE5" w:rsidRDefault="004938DC" w:rsidP="00C275D1">
            <w:pPr>
              <w:spacing w:line="276" w:lineRule="auto"/>
              <w:jc w:val="right"/>
              <w:rPr>
                <w:color w:val="000000"/>
              </w:rPr>
            </w:pPr>
            <w:r w:rsidRPr="00995FE5">
              <w:rPr>
                <w:color w:val="000000"/>
              </w:rPr>
              <w:t>2.605</w:t>
            </w:r>
          </w:p>
        </w:tc>
        <w:tc>
          <w:tcPr>
            <w:tcW w:w="0" w:type="auto"/>
            <w:vAlign w:val="center"/>
          </w:tcPr>
          <w:p w14:paraId="5A8C5E0D" w14:textId="77777777" w:rsidR="004938DC" w:rsidRPr="00995FE5" w:rsidRDefault="004938DC" w:rsidP="00C275D1">
            <w:pPr>
              <w:spacing w:line="276" w:lineRule="auto"/>
              <w:jc w:val="right"/>
              <w:rPr>
                <w:color w:val="000000"/>
              </w:rPr>
            </w:pPr>
            <w:r w:rsidRPr="00995FE5">
              <w:rPr>
                <w:color w:val="000000"/>
              </w:rPr>
              <w:t>0.016</w:t>
            </w:r>
          </w:p>
        </w:tc>
      </w:tr>
      <w:tr w:rsidR="004938DC" w:rsidRPr="00D65137" w14:paraId="0A1D517D" w14:textId="77777777" w:rsidTr="00C275D1">
        <w:tc>
          <w:tcPr>
            <w:tcW w:w="0" w:type="auto"/>
            <w:vAlign w:val="bottom"/>
          </w:tcPr>
          <w:p w14:paraId="00E447C5" w14:textId="77777777" w:rsidR="004938DC" w:rsidRPr="002B792E" w:rsidRDefault="004938DC" w:rsidP="00C275D1">
            <w:pPr>
              <w:spacing w:line="276" w:lineRule="auto"/>
              <w:rPr>
                <w:i/>
              </w:rPr>
            </w:pPr>
            <w:r w:rsidRPr="002B792E">
              <w:rPr>
                <w:i/>
              </w:rPr>
              <w:t>ln_Geographic Coverage</w:t>
            </w:r>
          </w:p>
        </w:tc>
        <w:tc>
          <w:tcPr>
            <w:tcW w:w="0" w:type="auto"/>
            <w:vAlign w:val="center"/>
          </w:tcPr>
          <w:p w14:paraId="50A1F3EF" w14:textId="77777777" w:rsidR="004938DC" w:rsidRPr="00D65137" w:rsidRDefault="004938DC" w:rsidP="00C275D1">
            <w:pPr>
              <w:spacing w:line="276" w:lineRule="auto"/>
              <w:jc w:val="right"/>
              <w:rPr>
                <w:color w:val="000000"/>
              </w:rPr>
            </w:pPr>
            <w:r w:rsidRPr="00D65137">
              <w:rPr>
                <w:color w:val="000000"/>
              </w:rPr>
              <w:t>-0.009</w:t>
            </w:r>
          </w:p>
        </w:tc>
        <w:tc>
          <w:tcPr>
            <w:tcW w:w="0" w:type="auto"/>
            <w:vAlign w:val="center"/>
          </w:tcPr>
          <w:p w14:paraId="7017E779" w14:textId="77777777" w:rsidR="004938DC" w:rsidRPr="00D65137" w:rsidRDefault="004938DC" w:rsidP="00C275D1">
            <w:pPr>
              <w:spacing w:line="276" w:lineRule="auto"/>
              <w:jc w:val="right"/>
              <w:rPr>
                <w:color w:val="000000"/>
              </w:rPr>
            </w:pPr>
            <w:r w:rsidRPr="00D65137">
              <w:rPr>
                <w:color w:val="000000"/>
              </w:rPr>
              <w:t>4.731</w:t>
            </w:r>
          </w:p>
        </w:tc>
        <w:tc>
          <w:tcPr>
            <w:tcW w:w="0" w:type="auto"/>
            <w:vAlign w:val="center"/>
          </w:tcPr>
          <w:p w14:paraId="6017F57B" w14:textId="77777777" w:rsidR="004938DC" w:rsidRPr="00995FE5" w:rsidRDefault="004938DC" w:rsidP="00C275D1">
            <w:pPr>
              <w:spacing w:line="276" w:lineRule="auto"/>
              <w:jc w:val="right"/>
              <w:rPr>
                <w:color w:val="000000"/>
              </w:rPr>
            </w:pPr>
            <w:r w:rsidRPr="00995FE5">
              <w:rPr>
                <w:color w:val="000000"/>
              </w:rPr>
              <w:t>-0.002</w:t>
            </w:r>
          </w:p>
        </w:tc>
        <w:tc>
          <w:tcPr>
            <w:tcW w:w="0" w:type="auto"/>
            <w:vAlign w:val="center"/>
          </w:tcPr>
          <w:p w14:paraId="12315883" w14:textId="77777777" w:rsidR="004938DC" w:rsidRPr="00995FE5" w:rsidRDefault="004938DC" w:rsidP="00C275D1">
            <w:pPr>
              <w:spacing w:line="276" w:lineRule="auto"/>
              <w:jc w:val="right"/>
              <w:rPr>
                <w:color w:val="000000"/>
              </w:rPr>
            </w:pPr>
            <w:r w:rsidRPr="00995FE5">
              <w:rPr>
                <w:color w:val="000000"/>
              </w:rPr>
              <w:t>0.999</w:t>
            </w:r>
          </w:p>
        </w:tc>
      </w:tr>
      <w:tr w:rsidR="004938DC" w:rsidRPr="00D65137" w14:paraId="6AEAB3A1" w14:textId="77777777" w:rsidTr="00C275D1">
        <w:tc>
          <w:tcPr>
            <w:tcW w:w="0" w:type="auto"/>
            <w:vAlign w:val="bottom"/>
          </w:tcPr>
          <w:p w14:paraId="21CBEF38" w14:textId="77777777" w:rsidR="004938DC" w:rsidRPr="002B792E" w:rsidRDefault="004938DC" w:rsidP="00C275D1">
            <w:pPr>
              <w:spacing w:line="276" w:lineRule="auto"/>
              <w:rPr>
                <w:i/>
              </w:rPr>
            </w:pPr>
            <w:r w:rsidRPr="002B792E">
              <w:rPr>
                <w:i/>
              </w:rPr>
              <w:t>ln_Land Dispute Resolution</w:t>
            </w:r>
          </w:p>
        </w:tc>
        <w:tc>
          <w:tcPr>
            <w:tcW w:w="0" w:type="auto"/>
            <w:vAlign w:val="center"/>
          </w:tcPr>
          <w:p w14:paraId="27A503C6" w14:textId="77777777" w:rsidR="004938DC" w:rsidRPr="00D65137" w:rsidRDefault="004938DC" w:rsidP="00C275D1">
            <w:pPr>
              <w:spacing w:line="276" w:lineRule="auto"/>
              <w:jc w:val="right"/>
              <w:rPr>
                <w:color w:val="000000"/>
              </w:rPr>
            </w:pPr>
            <w:r w:rsidRPr="00D65137">
              <w:rPr>
                <w:color w:val="000000"/>
              </w:rPr>
              <w:t>21.411</w:t>
            </w:r>
          </w:p>
        </w:tc>
        <w:tc>
          <w:tcPr>
            <w:tcW w:w="0" w:type="auto"/>
            <w:vAlign w:val="center"/>
          </w:tcPr>
          <w:p w14:paraId="008E80E6" w14:textId="77777777" w:rsidR="004938DC" w:rsidRPr="00D65137" w:rsidRDefault="004938DC" w:rsidP="00C275D1">
            <w:pPr>
              <w:spacing w:line="276" w:lineRule="auto"/>
              <w:jc w:val="right"/>
              <w:rPr>
                <w:color w:val="000000"/>
              </w:rPr>
            </w:pPr>
            <w:r w:rsidRPr="00D65137">
              <w:rPr>
                <w:color w:val="000000"/>
              </w:rPr>
              <w:t>16.527</w:t>
            </w:r>
          </w:p>
        </w:tc>
        <w:tc>
          <w:tcPr>
            <w:tcW w:w="0" w:type="auto"/>
            <w:vAlign w:val="center"/>
          </w:tcPr>
          <w:p w14:paraId="75F3B358" w14:textId="77777777" w:rsidR="004938DC" w:rsidRPr="00995FE5" w:rsidRDefault="004938DC" w:rsidP="00C275D1">
            <w:pPr>
              <w:spacing w:line="276" w:lineRule="auto"/>
              <w:jc w:val="right"/>
              <w:rPr>
                <w:color w:val="000000"/>
              </w:rPr>
            </w:pPr>
            <w:r w:rsidRPr="00995FE5">
              <w:rPr>
                <w:color w:val="000000"/>
              </w:rPr>
              <w:t>1.296</w:t>
            </w:r>
          </w:p>
        </w:tc>
        <w:tc>
          <w:tcPr>
            <w:tcW w:w="0" w:type="auto"/>
            <w:vAlign w:val="center"/>
          </w:tcPr>
          <w:p w14:paraId="2134353A" w14:textId="77777777" w:rsidR="004938DC" w:rsidRPr="00995FE5" w:rsidRDefault="004938DC" w:rsidP="00C275D1">
            <w:pPr>
              <w:spacing w:line="276" w:lineRule="auto"/>
              <w:jc w:val="right"/>
              <w:rPr>
                <w:color w:val="000000"/>
              </w:rPr>
            </w:pPr>
            <w:r w:rsidRPr="00995FE5">
              <w:rPr>
                <w:color w:val="000000"/>
              </w:rPr>
              <w:t>0.208</w:t>
            </w:r>
          </w:p>
        </w:tc>
      </w:tr>
      <w:tr w:rsidR="004938DC" w:rsidRPr="00D65137" w14:paraId="4579BEB2" w14:textId="77777777" w:rsidTr="00C275D1">
        <w:tc>
          <w:tcPr>
            <w:tcW w:w="0" w:type="auto"/>
            <w:vAlign w:val="bottom"/>
          </w:tcPr>
          <w:p w14:paraId="48FA2538" w14:textId="77777777" w:rsidR="004938DC" w:rsidRPr="002B792E" w:rsidRDefault="004938DC" w:rsidP="00C275D1">
            <w:pPr>
              <w:spacing w:line="276" w:lineRule="auto"/>
              <w:rPr>
                <w:i/>
              </w:rPr>
            </w:pPr>
            <w:r w:rsidRPr="002B792E">
              <w:rPr>
                <w:i/>
              </w:rPr>
              <w:t>ln_Population</w:t>
            </w:r>
          </w:p>
        </w:tc>
        <w:tc>
          <w:tcPr>
            <w:tcW w:w="0" w:type="auto"/>
            <w:vAlign w:val="center"/>
          </w:tcPr>
          <w:p w14:paraId="3F72A764" w14:textId="77777777" w:rsidR="004938DC" w:rsidRPr="00D65137" w:rsidRDefault="004938DC" w:rsidP="00C275D1">
            <w:pPr>
              <w:spacing w:line="276" w:lineRule="auto"/>
              <w:jc w:val="right"/>
              <w:rPr>
                <w:color w:val="000000"/>
              </w:rPr>
            </w:pPr>
            <w:r w:rsidRPr="00D65137">
              <w:rPr>
                <w:color w:val="000000"/>
              </w:rPr>
              <w:t>-1.037</w:t>
            </w:r>
          </w:p>
        </w:tc>
        <w:tc>
          <w:tcPr>
            <w:tcW w:w="0" w:type="auto"/>
            <w:vAlign w:val="center"/>
          </w:tcPr>
          <w:p w14:paraId="2C8C7D33" w14:textId="77777777" w:rsidR="004938DC" w:rsidRPr="00D65137" w:rsidRDefault="004938DC" w:rsidP="00C275D1">
            <w:pPr>
              <w:spacing w:line="276" w:lineRule="auto"/>
              <w:jc w:val="right"/>
              <w:rPr>
                <w:color w:val="000000"/>
              </w:rPr>
            </w:pPr>
            <w:r w:rsidRPr="00D65137">
              <w:rPr>
                <w:color w:val="000000"/>
              </w:rPr>
              <w:t>1.614</w:t>
            </w:r>
          </w:p>
        </w:tc>
        <w:tc>
          <w:tcPr>
            <w:tcW w:w="0" w:type="auto"/>
            <w:vAlign w:val="center"/>
          </w:tcPr>
          <w:p w14:paraId="24ABC726" w14:textId="77777777" w:rsidR="004938DC" w:rsidRPr="00995FE5" w:rsidRDefault="004938DC" w:rsidP="00C275D1">
            <w:pPr>
              <w:spacing w:line="276" w:lineRule="auto"/>
              <w:jc w:val="right"/>
              <w:rPr>
                <w:color w:val="000000"/>
              </w:rPr>
            </w:pPr>
            <w:r w:rsidRPr="00995FE5">
              <w:rPr>
                <w:color w:val="000000"/>
              </w:rPr>
              <w:t>-0.643</w:t>
            </w:r>
          </w:p>
        </w:tc>
        <w:tc>
          <w:tcPr>
            <w:tcW w:w="0" w:type="auto"/>
            <w:vAlign w:val="center"/>
          </w:tcPr>
          <w:p w14:paraId="6D03CA6E" w14:textId="77777777" w:rsidR="004938DC" w:rsidRPr="00995FE5" w:rsidRDefault="004938DC" w:rsidP="00C275D1">
            <w:pPr>
              <w:spacing w:line="276" w:lineRule="auto"/>
              <w:jc w:val="right"/>
              <w:rPr>
                <w:color w:val="000000"/>
              </w:rPr>
            </w:pPr>
            <w:r w:rsidRPr="00995FE5">
              <w:rPr>
                <w:color w:val="000000"/>
              </w:rPr>
              <w:t>0.527</w:t>
            </w:r>
          </w:p>
        </w:tc>
      </w:tr>
      <w:tr w:rsidR="004938DC" w:rsidRPr="00D65137" w14:paraId="3768E7D9" w14:textId="77777777" w:rsidTr="00C275D1">
        <w:tc>
          <w:tcPr>
            <w:tcW w:w="0" w:type="auto"/>
            <w:vAlign w:val="bottom"/>
          </w:tcPr>
          <w:p w14:paraId="6A957952" w14:textId="77777777" w:rsidR="004938DC" w:rsidRPr="002B792E" w:rsidRDefault="004938DC" w:rsidP="00C275D1">
            <w:pPr>
              <w:spacing w:line="276" w:lineRule="auto"/>
              <w:rPr>
                <w:i/>
              </w:rPr>
            </w:pPr>
            <w:r w:rsidRPr="002B792E">
              <w:rPr>
                <w:i/>
              </w:rPr>
              <w:t>ln_Rural Population</w:t>
            </w:r>
          </w:p>
        </w:tc>
        <w:tc>
          <w:tcPr>
            <w:tcW w:w="0" w:type="auto"/>
            <w:vAlign w:val="center"/>
          </w:tcPr>
          <w:p w14:paraId="035C23A6" w14:textId="77777777" w:rsidR="004938DC" w:rsidRPr="00D65137" w:rsidRDefault="004938DC" w:rsidP="00C275D1">
            <w:pPr>
              <w:spacing w:line="276" w:lineRule="auto"/>
              <w:jc w:val="right"/>
              <w:rPr>
                <w:color w:val="000000"/>
              </w:rPr>
            </w:pPr>
            <w:r w:rsidRPr="00D65137">
              <w:rPr>
                <w:color w:val="000000"/>
              </w:rPr>
              <w:t>-31.974</w:t>
            </w:r>
          </w:p>
        </w:tc>
        <w:tc>
          <w:tcPr>
            <w:tcW w:w="0" w:type="auto"/>
            <w:vAlign w:val="center"/>
          </w:tcPr>
          <w:p w14:paraId="00D03727" w14:textId="77777777" w:rsidR="004938DC" w:rsidRPr="00D65137" w:rsidRDefault="004938DC" w:rsidP="00C275D1">
            <w:pPr>
              <w:spacing w:line="276" w:lineRule="auto"/>
              <w:jc w:val="right"/>
              <w:rPr>
                <w:color w:val="000000"/>
              </w:rPr>
            </w:pPr>
            <w:r w:rsidRPr="00D65137">
              <w:rPr>
                <w:color w:val="000000"/>
              </w:rPr>
              <w:t>5.946</w:t>
            </w:r>
          </w:p>
        </w:tc>
        <w:tc>
          <w:tcPr>
            <w:tcW w:w="0" w:type="auto"/>
            <w:vAlign w:val="center"/>
          </w:tcPr>
          <w:p w14:paraId="4EE08E36" w14:textId="77777777" w:rsidR="004938DC" w:rsidRPr="00995FE5" w:rsidRDefault="004938DC" w:rsidP="00C275D1">
            <w:pPr>
              <w:spacing w:line="276" w:lineRule="auto"/>
              <w:jc w:val="right"/>
              <w:rPr>
                <w:color w:val="000000"/>
              </w:rPr>
            </w:pPr>
            <w:r w:rsidRPr="00995FE5">
              <w:rPr>
                <w:color w:val="000000"/>
              </w:rPr>
              <w:t>-5.377</w:t>
            </w:r>
          </w:p>
        </w:tc>
        <w:tc>
          <w:tcPr>
            <w:tcW w:w="0" w:type="auto"/>
            <w:vAlign w:val="center"/>
          </w:tcPr>
          <w:p w14:paraId="17BC8C8E" w14:textId="77777777" w:rsidR="004938DC" w:rsidRPr="00995FE5" w:rsidRDefault="004938DC" w:rsidP="00C275D1">
            <w:pPr>
              <w:spacing w:line="276" w:lineRule="auto"/>
              <w:jc w:val="right"/>
              <w:rPr>
                <w:color w:val="000000"/>
              </w:rPr>
            </w:pPr>
            <w:r w:rsidRPr="00995FE5">
              <w:rPr>
                <w:color w:val="000000"/>
              </w:rPr>
              <w:t>0.000</w:t>
            </w:r>
          </w:p>
        </w:tc>
      </w:tr>
    </w:tbl>
    <w:p w14:paraId="4E933584" w14:textId="77777777" w:rsidR="00C57614" w:rsidRDefault="00C57614" w:rsidP="0068345C"/>
    <w:p w14:paraId="0078DFF3" w14:textId="77777777" w:rsidR="00C872B1" w:rsidRPr="00C872B1" w:rsidRDefault="00265470" w:rsidP="00701123">
      <w:pPr>
        <w:jc w:val="center"/>
        <w:rPr>
          <w:sz w:val="21"/>
        </w:rPr>
        <w:sectPr w:rsidR="00C872B1" w:rsidRPr="00C872B1" w:rsidSect="00085DFF">
          <w:headerReference w:type="even" r:id="rId8"/>
          <w:headerReference w:type="default" r:id="rId9"/>
          <w:footerReference w:type="even" r:id="rId10"/>
          <w:footerReference w:type="default" r:id="rId11"/>
          <w:headerReference w:type="first" r:id="rId12"/>
          <w:pgSz w:w="12240" w:h="15840"/>
          <w:pgMar w:top="1440" w:right="1440" w:bottom="1440" w:left="1440" w:header="720" w:footer="720" w:gutter="0"/>
          <w:cols w:space="720"/>
          <w:titlePg/>
          <w:docGrid w:linePitch="360"/>
        </w:sectPr>
      </w:pPr>
      <w:r w:rsidRPr="00AE3FBB">
        <w:rPr>
          <w:sz w:val="21"/>
        </w:rPr>
        <w:t>v</w:t>
      </w:r>
      <w:r w:rsidR="00277D06">
        <w:rPr>
          <w:sz w:val="21"/>
        </w:rPr>
        <w:t>i</w:t>
      </w:r>
    </w:p>
    <w:p w14:paraId="38341C55" w14:textId="77777777" w:rsidR="0068345C" w:rsidRPr="003463CE" w:rsidRDefault="003463CE" w:rsidP="009415F9">
      <w:pPr>
        <w:pStyle w:val="Heading1"/>
        <w:spacing w:line="360" w:lineRule="auto"/>
        <w:rPr>
          <w:rFonts w:ascii="Rockwell" w:hAnsi="Rockwell"/>
          <w:sz w:val="28"/>
          <w:szCs w:val="28"/>
        </w:rPr>
      </w:pPr>
      <w:bookmarkStart w:id="1" w:name="_Toc78045070"/>
      <w:r>
        <w:rPr>
          <w:rFonts w:ascii="Rockwell" w:hAnsi="Rockwell"/>
          <w:sz w:val="28"/>
          <w:szCs w:val="28"/>
        </w:rPr>
        <w:lastRenderedPageBreak/>
        <w:t>1.</w:t>
      </w:r>
      <w:r w:rsidR="0068345C" w:rsidRPr="003463CE">
        <w:rPr>
          <w:rFonts w:ascii="Rockwell" w:hAnsi="Rockwell"/>
          <w:sz w:val="28"/>
          <w:szCs w:val="28"/>
        </w:rPr>
        <w:t xml:space="preserve"> Introduction</w:t>
      </w:r>
      <w:bookmarkEnd w:id="1"/>
    </w:p>
    <w:p w14:paraId="422FC56B" w14:textId="77777777" w:rsidR="00397A05" w:rsidRPr="000D022C" w:rsidRDefault="00397A05" w:rsidP="009415F9">
      <w:pPr>
        <w:pStyle w:val="Heading4"/>
        <w:shd w:val="clear" w:color="auto" w:fill="FFFFFF"/>
        <w:spacing w:after="120" w:line="360" w:lineRule="auto"/>
        <w:ind w:firstLine="720"/>
        <w:rPr>
          <w:rFonts w:ascii="Times New Roman" w:hAnsi="Times New Roman" w:cs="Times New Roman"/>
          <w:i w:val="0"/>
          <w:color w:val="000000" w:themeColor="text1"/>
        </w:rPr>
      </w:pPr>
      <w:r w:rsidRPr="000D022C">
        <w:rPr>
          <w:rFonts w:ascii="Times New Roman" w:hAnsi="Times New Roman" w:cs="Times New Roman"/>
          <w:i w:val="0"/>
          <w:color w:val="000000" w:themeColor="text1"/>
        </w:rPr>
        <w:t>Secure property rights and titling institutions are understood as having a positive impact on economic development. This is due to the association between titling and credit market access. The</w:t>
      </w:r>
      <w:r w:rsidR="0068345C" w:rsidRPr="000D022C">
        <w:rPr>
          <w:rFonts w:ascii="Times New Roman" w:hAnsi="Times New Roman" w:cs="Times New Roman"/>
          <w:i w:val="0"/>
          <w:color w:val="000000" w:themeColor="text1"/>
        </w:rPr>
        <w:t xml:space="preserve"> World Bank</w:t>
      </w:r>
      <w:r w:rsidRPr="000D022C">
        <w:rPr>
          <w:rFonts w:ascii="Times New Roman" w:hAnsi="Times New Roman" w:cs="Times New Roman"/>
          <w:i w:val="0"/>
          <w:color w:val="000000" w:themeColor="text1"/>
        </w:rPr>
        <w:t xml:space="preserve"> (2019) advocates for land and property rights</w:t>
      </w:r>
      <w:r w:rsidR="00CF5912" w:rsidRPr="000D022C">
        <w:rPr>
          <w:rFonts w:ascii="Times New Roman" w:hAnsi="Times New Roman" w:cs="Times New Roman"/>
          <w:i w:val="0"/>
          <w:color w:val="000000" w:themeColor="text1"/>
        </w:rPr>
        <w:t xml:space="preserve"> through its assertion</w:t>
      </w:r>
      <w:r w:rsidRPr="000D022C">
        <w:rPr>
          <w:rFonts w:ascii="Times New Roman" w:hAnsi="Times New Roman" w:cs="Times New Roman"/>
          <w:i w:val="0"/>
          <w:color w:val="000000" w:themeColor="text1"/>
        </w:rPr>
        <w:t>:</w:t>
      </w:r>
    </w:p>
    <w:p w14:paraId="3DB56553" w14:textId="77777777" w:rsidR="00397A05" w:rsidRPr="002B792E" w:rsidRDefault="0068345C" w:rsidP="009415F9">
      <w:pPr>
        <w:pStyle w:val="Heading4"/>
        <w:shd w:val="clear" w:color="auto" w:fill="FFFFFF"/>
        <w:spacing w:after="120" w:line="360" w:lineRule="auto"/>
        <w:ind w:left="720"/>
        <w:rPr>
          <w:rFonts w:ascii="Times New Roman" w:hAnsi="Times New Roman" w:cs="Times New Roman"/>
          <w:color w:val="4472C4" w:themeColor="accent1"/>
        </w:rPr>
      </w:pPr>
      <w:r w:rsidRPr="002B792E">
        <w:rPr>
          <w:rFonts w:ascii="Times New Roman" w:hAnsi="Times New Roman" w:cs="Times New Roman"/>
          <w:color w:val="4472C4" w:themeColor="accent1"/>
        </w:rPr>
        <w:t>“Secure property rights and efficient land registration institutions are a cornerstone of any modern economy. They give confidence to individuals and businesses to invest in land, allow private companies to borrow – using land as a collateral – to expand job opportunities, and enable governments to collect property taxes, which are necessary to finance the provision of infrastructure and services to citizens</w:t>
      </w:r>
      <w:r w:rsidR="00397A05" w:rsidRPr="002B792E">
        <w:rPr>
          <w:rFonts w:ascii="Times New Roman" w:hAnsi="Times New Roman" w:cs="Times New Roman"/>
          <w:color w:val="4472C4" w:themeColor="accent1"/>
        </w:rPr>
        <w:t>”</w:t>
      </w:r>
      <w:r w:rsidR="00397A05" w:rsidRPr="002B792E">
        <w:rPr>
          <w:rStyle w:val="FootnoteReference"/>
          <w:rFonts w:ascii="Times New Roman" w:hAnsi="Times New Roman" w:cs="Times New Roman"/>
          <w:i w:val="0"/>
          <w:color w:val="000000" w:themeColor="text1"/>
        </w:rPr>
        <w:footnoteReference w:id="1"/>
      </w:r>
    </w:p>
    <w:p w14:paraId="72FCF79E" w14:textId="77777777" w:rsidR="0068345C" w:rsidRPr="002B792E" w:rsidRDefault="00397A05" w:rsidP="009415F9">
      <w:pPr>
        <w:pStyle w:val="Heading4"/>
        <w:shd w:val="clear" w:color="auto" w:fill="FFFFFF"/>
        <w:spacing w:after="120" w:line="360" w:lineRule="auto"/>
        <w:ind w:left="720"/>
        <w:rPr>
          <w:rFonts w:ascii="Times New Roman" w:hAnsi="Times New Roman" w:cs="Times New Roman"/>
          <w:color w:val="4472C4" w:themeColor="accent1"/>
        </w:rPr>
      </w:pPr>
      <w:r w:rsidRPr="002B792E">
        <w:rPr>
          <w:rFonts w:ascii="Times New Roman" w:hAnsi="Times New Roman" w:cs="Times New Roman"/>
          <w:color w:val="4472C4" w:themeColor="accent1"/>
        </w:rPr>
        <w:t>“</w:t>
      </w:r>
      <w:r w:rsidR="0068345C" w:rsidRPr="002B792E">
        <w:rPr>
          <w:rFonts w:ascii="Times New Roman" w:hAnsi="Times New Roman" w:cs="Times New Roman"/>
          <w:color w:val="4472C4" w:themeColor="accent1"/>
        </w:rPr>
        <w:t>Without land tenure systems that work, economies risk missing the foundation for sustainable growth, threatening the livelihoods of the poor and vulnerable the most. It is simply not possible to end poverty and boost shared prosperity without making serious progress on land and property rights”</w:t>
      </w:r>
      <w:r w:rsidR="0068345C" w:rsidRPr="002B792E">
        <w:rPr>
          <w:rStyle w:val="FootnoteReference"/>
          <w:rFonts w:ascii="Times New Roman" w:hAnsi="Times New Roman" w:cs="Times New Roman"/>
          <w:i w:val="0"/>
          <w:color w:val="000000" w:themeColor="text1"/>
        </w:rPr>
        <w:footnoteReference w:id="2"/>
      </w:r>
    </w:p>
    <w:p w14:paraId="6DB459C3" w14:textId="473F5334" w:rsidR="005028CB" w:rsidRPr="000D022C" w:rsidRDefault="00CF5912" w:rsidP="009415F9">
      <w:pPr>
        <w:spacing w:after="240" w:line="360" w:lineRule="auto"/>
        <w:textAlignment w:val="baseline"/>
        <w:rPr>
          <w:color w:val="000000" w:themeColor="text1"/>
        </w:rPr>
      </w:pPr>
      <w:r w:rsidRPr="000D022C">
        <w:rPr>
          <w:color w:val="000000" w:themeColor="text1"/>
        </w:rPr>
        <w:t>Additionally</w:t>
      </w:r>
      <w:r w:rsidR="00397A05" w:rsidRPr="000D022C">
        <w:rPr>
          <w:color w:val="000000" w:themeColor="text1"/>
        </w:rPr>
        <w:t xml:space="preserve">, </w:t>
      </w:r>
      <w:r w:rsidRPr="000D022C">
        <w:rPr>
          <w:color w:val="000000" w:themeColor="text1"/>
        </w:rPr>
        <w:t xml:space="preserve">the Heritage Foundation includes property rights as one of the measured </w:t>
      </w:r>
      <w:r w:rsidR="0021007B">
        <w:rPr>
          <w:color w:val="000000" w:themeColor="text1"/>
        </w:rPr>
        <w:t>areas</w:t>
      </w:r>
      <w:r w:rsidRPr="000D022C">
        <w:rPr>
          <w:color w:val="000000" w:themeColor="text1"/>
        </w:rPr>
        <w:t xml:space="preserve"> comprising their 2021 </w:t>
      </w:r>
      <w:r w:rsidRPr="000D022C">
        <w:rPr>
          <w:i/>
          <w:color w:val="000000" w:themeColor="text1"/>
        </w:rPr>
        <w:t>Index of Economic Freedom</w:t>
      </w:r>
      <w:r w:rsidR="00721B4B" w:rsidRPr="000D022C">
        <w:rPr>
          <w:i/>
          <w:color w:val="000000" w:themeColor="text1"/>
        </w:rPr>
        <w:t xml:space="preserve">, </w:t>
      </w:r>
      <w:r w:rsidR="00721B4B" w:rsidRPr="000D022C">
        <w:rPr>
          <w:color w:val="000000" w:themeColor="text1"/>
        </w:rPr>
        <w:t xml:space="preserve">further emphasizing </w:t>
      </w:r>
      <w:r w:rsidRPr="000D022C">
        <w:rPr>
          <w:color w:val="000000" w:themeColor="text1"/>
        </w:rPr>
        <w:t xml:space="preserve">the economic importance of </w:t>
      </w:r>
      <w:r w:rsidR="00721B4B" w:rsidRPr="000D022C">
        <w:rPr>
          <w:color w:val="000000" w:themeColor="text1"/>
        </w:rPr>
        <w:t>land and property rights</w:t>
      </w:r>
      <w:r w:rsidR="00BF4BF6">
        <w:rPr>
          <w:color w:val="000000" w:themeColor="text1"/>
        </w:rPr>
        <w:t xml:space="preserve">. Heritage (2021) states: </w:t>
      </w:r>
    </w:p>
    <w:p w14:paraId="3AE4874D" w14:textId="77777777" w:rsidR="005028CB" w:rsidRPr="002B792E" w:rsidRDefault="000D022C" w:rsidP="009415F9">
      <w:pPr>
        <w:spacing w:after="240" w:line="360" w:lineRule="auto"/>
        <w:ind w:left="720"/>
        <w:textAlignment w:val="baseline"/>
        <w:rPr>
          <w:i/>
          <w:color w:val="000000" w:themeColor="text1"/>
        </w:rPr>
      </w:pPr>
      <w:r w:rsidRPr="002B792E">
        <w:rPr>
          <w:i/>
          <w:color w:val="4472C4" w:themeColor="accent1"/>
        </w:rPr>
        <w:t>“</w:t>
      </w:r>
      <w:r w:rsidR="00721B4B" w:rsidRPr="002B792E">
        <w:rPr>
          <w:i/>
          <w:color w:val="4472C4" w:themeColor="accent1"/>
        </w:rPr>
        <w:t>P</w:t>
      </w:r>
      <w:r w:rsidR="0068345C" w:rsidRPr="002B792E">
        <w:rPr>
          <w:bCs/>
          <w:i/>
          <w:color w:val="4472C4" w:themeColor="accent1"/>
        </w:rPr>
        <w:t>roperty rights</w:t>
      </w:r>
      <w:r w:rsidR="0068345C" w:rsidRPr="002B792E">
        <w:rPr>
          <w:i/>
          <w:color w:val="4472C4" w:themeColor="accent1"/>
        </w:rPr>
        <w:t xml:space="preserve"> are a primary factor in the accumulation of capital for production and investment. </w:t>
      </w:r>
      <w:r w:rsidR="0068345C" w:rsidRPr="002B792E">
        <w:rPr>
          <w:bCs/>
          <w:i/>
          <w:color w:val="4472C4" w:themeColor="accent1"/>
        </w:rPr>
        <w:t>Secure titling</w:t>
      </w:r>
      <w:r w:rsidR="0068345C" w:rsidRPr="002B792E">
        <w:rPr>
          <w:i/>
          <w:color w:val="4472C4" w:themeColor="accent1"/>
        </w:rPr>
        <w:t xml:space="preserve"> is key to unlocking the wealth embodied in real estate, making natural resources available for economic use, and </w:t>
      </w:r>
      <w:r w:rsidR="0068345C" w:rsidRPr="002B792E">
        <w:rPr>
          <w:bCs/>
          <w:i/>
          <w:color w:val="4472C4" w:themeColor="accent1"/>
        </w:rPr>
        <w:t>providing collateral for investment financing.</w:t>
      </w:r>
      <w:r w:rsidRPr="002B792E">
        <w:rPr>
          <w:bCs/>
          <w:i/>
          <w:color w:val="4472C4" w:themeColor="accent1"/>
        </w:rPr>
        <w:t>”</w:t>
      </w:r>
      <w:r w:rsidR="0068345C" w:rsidRPr="002B792E">
        <w:rPr>
          <w:rStyle w:val="FootnoteReference"/>
          <w:color w:val="000000" w:themeColor="text1"/>
        </w:rPr>
        <w:footnoteReference w:id="3"/>
      </w:r>
      <w:r w:rsidR="00721B4B" w:rsidRPr="002B792E">
        <w:rPr>
          <w:color w:val="000000" w:themeColor="text1"/>
        </w:rPr>
        <w:t xml:space="preserve"> </w:t>
      </w:r>
    </w:p>
    <w:p w14:paraId="6C275961" w14:textId="6367D88A" w:rsidR="000871A8" w:rsidRPr="005A02AE" w:rsidRDefault="000871A8" w:rsidP="009415F9">
      <w:pPr>
        <w:spacing w:after="240" w:line="360" w:lineRule="auto"/>
        <w:textAlignment w:val="baseline"/>
      </w:pPr>
      <w:r w:rsidRPr="000D022C">
        <w:rPr>
          <w:color w:val="000000" w:themeColor="text1"/>
        </w:rPr>
        <w:t xml:space="preserve">Historically, the general consensus among development researchers and scholars has </w:t>
      </w:r>
      <w:r w:rsidR="006C3EFA" w:rsidRPr="000D022C">
        <w:rPr>
          <w:color w:val="000000" w:themeColor="text1"/>
        </w:rPr>
        <w:t>been in support of</w:t>
      </w:r>
      <w:r w:rsidRPr="000D022C">
        <w:rPr>
          <w:color w:val="000000" w:themeColor="text1"/>
        </w:rPr>
        <w:t xml:space="preserve"> the</w:t>
      </w:r>
      <w:r w:rsidR="006C3EFA" w:rsidRPr="000D022C">
        <w:rPr>
          <w:color w:val="000000" w:themeColor="text1"/>
        </w:rPr>
        <w:t xml:space="preserve"> </w:t>
      </w:r>
      <w:r w:rsidRPr="000D022C">
        <w:rPr>
          <w:color w:val="000000" w:themeColor="text1"/>
        </w:rPr>
        <w:t>connection between property rights and desirable economic outcomes.</w:t>
      </w:r>
      <w:r w:rsidRPr="000D022C">
        <w:rPr>
          <w:rStyle w:val="FootnoteReference"/>
        </w:rPr>
        <w:footnoteReference w:id="4"/>
      </w:r>
      <w:r w:rsidR="00321C3D" w:rsidRPr="000D022C">
        <w:rPr>
          <w:color w:val="000000" w:themeColor="text1"/>
        </w:rPr>
        <w:t xml:space="preserve"> </w:t>
      </w:r>
      <w:r w:rsidR="001A4416">
        <w:rPr>
          <w:color w:val="000000" w:themeColor="text1"/>
        </w:rPr>
        <w:t>To</w:t>
      </w:r>
      <w:r w:rsidR="00321C3D" w:rsidRPr="000D022C">
        <w:rPr>
          <w:color w:val="000000" w:themeColor="text1"/>
        </w:rPr>
        <w:t xml:space="preserve"> </w:t>
      </w:r>
      <w:r w:rsidR="00321C3D" w:rsidRPr="000D022C">
        <w:rPr>
          <w:color w:val="000000" w:themeColor="text1"/>
        </w:rPr>
        <w:lastRenderedPageBreak/>
        <w:t>proliferate and protect property rights</w:t>
      </w:r>
      <w:r w:rsidR="0021007B">
        <w:rPr>
          <w:color w:val="000000" w:themeColor="text1"/>
        </w:rPr>
        <w:t>,</w:t>
      </w:r>
      <w:r w:rsidR="00C275D1">
        <w:rPr>
          <w:color w:val="000000" w:themeColor="text1"/>
        </w:rPr>
        <w:t xml:space="preserve"> it</w:t>
      </w:r>
      <w:r w:rsidR="00321C3D" w:rsidRPr="000D022C">
        <w:rPr>
          <w:color w:val="000000" w:themeColor="text1"/>
        </w:rPr>
        <w:t xml:space="preserve"> is essential for a country to have functioning land and property institutions. The World Bank (2015) stresses the importance of “institutions </w:t>
      </w:r>
      <w:r w:rsidRPr="000D022C">
        <w:t>to document and record the legitimate owner of property</w:t>
      </w:r>
      <w:r w:rsidR="00321C3D" w:rsidRPr="000D022C">
        <w:t>,” recognizing property and land institutions</w:t>
      </w:r>
      <w:r w:rsidRPr="000D022C">
        <w:t xml:space="preserve"> </w:t>
      </w:r>
      <w:r w:rsidR="00321C3D" w:rsidRPr="000D022C">
        <w:t>as</w:t>
      </w:r>
      <w:r w:rsidR="005A02AE" w:rsidRPr="002B792E">
        <w:rPr>
          <w:color w:val="000000" w:themeColor="text1"/>
        </w:rPr>
        <w:t xml:space="preserve"> </w:t>
      </w:r>
      <w:r w:rsidR="000D022C" w:rsidRPr="002B792E">
        <w:rPr>
          <w:color w:val="000000" w:themeColor="text1"/>
        </w:rPr>
        <w:t>“a</w:t>
      </w:r>
      <w:r w:rsidR="00321C3D" w:rsidRPr="002B792E">
        <w:rPr>
          <w:color w:val="000000" w:themeColor="text1"/>
        </w:rPr>
        <w:t xml:space="preserve"> </w:t>
      </w:r>
      <w:r w:rsidRPr="002B792E">
        <w:rPr>
          <w:color w:val="000000" w:themeColor="text1"/>
        </w:rPr>
        <w:t>key part of the institutional infrastructure of any economy</w:t>
      </w:r>
      <w:r w:rsidR="00321C3D" w:rsidRPr="002B792E">
        <w:rPr>
          <w:color w:val="000000" w:themeColor="text1"/>
        </w:rPr>
        <w:t>.</w:t>
      </w:r>
      <w:r w:rsidR="000D022C" w:rsidRPr="002B792E">
        <w:rPr>
          <w:color w:val="000000" w:themeColor="text1"/>
        </w:rPr>
        <w:t>”</w:t>
      </w:r>
      <w:r w:rsidR="00321C3D" w:rsidRPr="002B792E">
        <w:rPr>
          <w:rStyle w:val="FootnoteReference"/>
          <w:color w:val="000000" w:themeColor="text1"/>
        </w:rPr>
        <w:footnoteReference w:id="5"/>
      </w:r>
      <w:r w:rsidR="00192CF9">
        <w:rPr>
          <w:color w:val="000000" w:themeColor="text1"/>
        </w:rPr>
        <w:t xml:space="preserve"> </w:t>
      </w:r>
    </w:p>
    <w:p w14:paraId="3C9CD839" w14:textId="50269FD7" w:rsidR="00B26F7E" w:rsidRDefault="00721B4B" w:rsidP="009415F9">
      <w:pPr>
        <w:pStyle w:val="NormalWeb"/>
        <w:spacing w:line="360" w:lineRule="auto"/>
        <w:ind w:firstLine="720"/>
      </w:pPr>
      <w:r w:rsidRPr="000D022C">
        <w:rPr>
          <w:color w:val="000000" w:themeColor="text1"/>
        </w:rPr>
        <w:t xml:space="preserve">Although development literature </w:t>
      </w:r>
      <w:r w:rsidR="00B858DB">
        <w:rPr>
          <w:color w:val="000000" w:themeColor="text1"/>
        </w:rPr>
        <w:t xml:space="preserve">and </w:t>
      </w:r>
      <w:r w:rsidR="00B858DB" w:rsidRPr="000D022C">
        <w:rPr>
          <w:color w:val="000000" w:themeColor="text1"/>
        </w:rPr>
        <w:t xml:space="preserve">influential organizations like the World Bank </w:t>
      </w:r>
      <w:r w:rsidRPr="000D022C">
        <w:rPr>
          <w:color w:val="000000" w:themeColor="text1"/>
        </w:rPr>
        <w:t>recognize the importance of land and property, many countries “</w:t>
      </w:r>
      <w:r w:rsidRPr="000D022C">
        <w:t>still place significant impediments to registering property, thereby making it difficult to be used as collateral.”</w:t>
      </w:r>
      <w:r w:rsidRPr="000D022C">
        <w:rPr>
          <w:rStyle w:val="FootnoteReference"/>
        </w:rPr>
        <w:footnoteReference w:id="6"/>
      </w:r>
      <w:r w:rsidR="000871A8" w:rsidRPr="000D022C">
        <w:t xml:space="preserve"> In particular, within</w:t>
      </w:r>
      <w:r w:rsidR="000671CF">
        <w:t xml:space="preserve"> much of</w:t>
      </w:r>
      <w:r w:rsidR="000871A8" w:rsidRPr="000D022C">
        <w:t xml:space="preserve"> the Latin American and Caribbean</w:t>
      </w:r>
      <w:r w:rsidR="009348C6" w:rsidRPr="000D022C">
        <w:t xml:space="preserve"> (LAC)</w:t>
      </w:r>
      <w:r w:rsidR="000871A8" w:rsidRPr="000D022C">
        <w:t xml:space="preserve"> region, this paradigm remains true.</w:t>
      </w:r>
      <w:r w:rsidR="001A79BC" w:rsidRPr="000D022C">
        <w:t xml:space="preserve"> </w:t>
      </w:r>
      <w:r w:rsidR="009348C6" w:rsidRPr="000D022C">
        <w:t>A</w:t>
      </w:r>
      <w:r w:rsidR="001A79BC" w:rsidRPr="000D022C">
        <w:t xml:space="preserve"> majority of </w:t>
      </w:r>
      <w:r w:rsidR="009348C6" w:rsidRPr="000D022C">
        <w:t xml:space="preserve">LAC </w:t>
      </w:r>
      <w:r w:rsidR="001A79BC" w:rsidRPr="000D022C">
        <w:t>countries exhibit highly unequal distributions of land coupled with insecure property rights.</w:t>
      </w:r>
      <w:r w:rsidR="001A79BC" w:rsidRPr="000D022C">
        <w:rPr>
          <w:rStyle w:val="FootnoteReference"/>
        </w:rPr>
        <w:footnoteReference w:id="7"/>
      </w:r>
      <w:r w:rsidR="009348C6" w:rsidRPr="000D022C">
        <w:t xml:space="preserve"> Not only </w:t>
      </w:r>
      <w:r w:rsidR="007013D1" w:rsidRPr="000D022C">
        <w:t xml:space="preserve">does </w:t>
      </w:r>
      <w:r w:rsidR="0021007B">
        <w:t xml:space="preserve">the </w:t>
      </w:r>
      <w:r w:rsidR="007013D1" w:rsidRPr="000D022C">
        <w:t xml:space="preserve">insecurity </w:t>
      </w:r>
      <w:r w:rsidR="00F66AF4" w:rsidRPr="000D022C">
        <w:t xml:space="preserve">of rights </w:t>
      </w:r>
      <w:r w:rsidR="007013D1" w:rsidRPr="000D022C">
        <w:t xml:space="preserve">hinder the ability of property to be </w:t>
      </w:r>
      <w:r w:rsidR="000671CF">
        <w:t>utilized</w:t>
      </w:r>
      <w:r w:rsidR="007013D1" w:rsidRPr="000D022C">
        <w:t xml:space="preserve"> as collateral, but insecure property rights have also been shown to adversely affect economic growth directly by “influencing the choice of production process and the efficiency with which production is carried out, and indirectly, by reducing incentives to invest.”</w:t>
      </w:r>
      <w:r w:rsidR="007013D1" w:rsidRPr="000D022C">
        <w:rPr>
          <w:rStyle w:val="FootnoteReference"/>
        </w:rPr>
        <w:footnoteReference w:id="8"/>
      </w:r>
      <w:r w:rsidR="006C3EFA" w:rsidRPr="000D022C">
        <w:t xml:space="preserve"> </w:t>
      </w:r>
    </w:p>
    <w:p w14:paraId="681FD174" w14:textId="5A22E20D" w:rsidR="00B26F7E" w:rsidRPr="006E3397" w:rsidRDefault="00B26F7E" w:rsidP="009415F9">
      <w:pPr>
        <w:pStyle w:val="NormalWeb"/>
        <w:spacing w:line="360" w:lineRule="auto"/>
        <w:ind w:firstLine="720"/>
        <w:rPr>
          <w:color w:val="000000" w:themeColor="text1"/>
        </w:rPr>
      </w:pPr>
      <w:r w:rsidRPr="00837E5B">
        <w:rPr>
          <w:color w:val="000000" w:themeColor="text1"/>
        </w:rPr>
        <w:t>The International Property Rights Alliance</w:t>
      </w:r>
      <w:r>
        <w:rPr>
          <w:color w:val="000000" w:themeColor="text1"/>
        </w:rPr>
        <w:t xml:space="preserve"> produces an International Property Rights Index (IPRI). According to the 2018 IPRI ranking, Latin American countries continue to fall short in comparison to the global </w:t>
      </w:r>
      <w:r w:rsidR="000671CF">
        <w:rPr>
          <w:color w:val="000000" w:themeColor="text1"/>
        </w:rPr>
        <w:t>average</w:t>
      </w:r>
      <w:r>
        <w:rPr>
          <w:color w:val="000000" w:themeColor="text1"/>
        </w:rPr>
        <w:t xml:space="preserve"> in the improvement of property-rights protections.</w:t>
      </w:r>
      <w:r>
        <w:rPr>
          <w:rStyle w:val="FootnoteReference"/>
          <w:color w:val="000000" w:themeColor="text1"/>
        </w:rPr>
        <w:footnoteReference w:id="9"/>
      </w:r>
      <w:r>
        <w:rPr>
          <w:color w:val="000000" w:themeColor="text1"/>
        </w:rPr>
        <w:t xml:space="preserve"> In fact, the region is home to the worst-rated country in terms of property-rights protections—Haiti. Conversely, the highest-ranking Latin American countries include Chile, Costa Rica</w:t>
      </w:r>
      <w:r w:rsidR="001A4416">
        <w:rPr>
          <w:color w:val="000000" w:themeColor="text1"/>
        </w:rPr>
        <w:t>,</w:t>
      </w:r>
      <w:r>
        <w:rPr>
          <w:color w:val="000000" w:themeColor="text1"/>
        </w:rPr>
        <w:t xml:space="preserve"> and Uruguay.</w:t>
      </w:r>
      <w:r w:rsidR="001A4416">
        <w:rPr>
          <w:rStyle w:val="FootnoteReference"/>
          <w:color w:val="000000" w:themeColor="text1"/>
        </w:rPr>
        <w:footnoteReference w:id="10"/>
      </w:r>
      <w:r>
        <w:rPr>
          <w:color w:val="000000" w:themeColor="text1"/>
        </w:rPr>
        <w:t xml:space="preserve"> It is of no surprise, then, that these three countries are also ranked</w:t>
      </w:r>
      <w:r w:rsidR="00C42B1A">
        <w:rPr>
          <w:color w:val="000000" w:themeColor="text1"/>
        </w:rPr>
        <w:t xml:space="preserve"> as</w:t>
      </w:r>
      <w:r>
        <w:rPr>
          <w:color w:val="000000" w:themeColor="text1"/>
        </w:rPr>
        <w:t xml:space="preserve"> the highest in </w:t>
      </w:r>
      <w:r>
        <w:rPr>
          <w:color w:val="000000" w:themeColor="text1"/>
        </w:rPr>
        <w:lastRenderedPageBreak/>
        <w:t xml:space="preserve">the region in terms of </w:t>
      </w:r>
      <w:r w:rsidR="000671CF">
        <w:rPr>
          <w:color w:val="000000" w:themeColor="text1"/>
        </w:rPr>
        <w:t xml:space="preserve">stability of </w:t>
      </w:r>
      <w:r>
        <w:rPr>
          <w:color w:val="000000" w:themeColor="text1"/>
        </w:rPr>
        <w:t>economic and political institutions.</w:t>
      </w:r>
      <w:r>
        <w:rPr>
          <w:rStyle w:val="FootnoteReference"/>
          <w:color w:val="000000" w:themeColor="text1"/>
        </w:rPr>
        <w:footnoteReference w:id="11"/>
      </w:r>
      <w:r>
        <w:rPr>
          <w:color w:val="000000" w:themeColor="text1"/>
        </w:rPr>
        <w:t xml:space="preserve"> These statistics further demonstrate the importance of institutional protections when it comes to property rights. </w:t>
      </w:r>
    </w:p>
    <w:p w14:paraId="447D5B9B" w14:textId="322F0001" w:rsidR="00D028C4" w:rsidRDefault="00985825" w:rsidP="00D028C4">
      <w:pPr>
        <w:pStyle w:val="NormalWeb"/>
        <w:spacing w:line="360" w:lineRule="auto"/>
        <w:ind w:firstLine="720"/>
      </w:pPr>
      <w:r w:rsidRPr="000D022C">
        <w:t>This</w:t>
      </w:r>
      <w:r w:rsidR="0088286B" w:rsidRPr="000D022C">
        <w:t xml:space="preserve"> paper </w:t>
      </w:r>
      <w:r w:rsidRPr="000D022C">
        <w:t>seeks</w:t>
      </w:r>
      <w:r w:rsidR="0088286B" w:rsidRPr="000D022C">
        <w:t xml:space="preserve"> to better understand the security </w:t>
      </w:r>
      <w:r w:rsidRPr="000D022C">
        <w:t xml:space="preserve">of </w:t>
      </w:r>
      <w:r w:rsidR="0088286B" w:rsidRPr="000D022C">
        <w:t>property rights and land institutions in the context o</w:t>
      </w:r>
      <w:r w:rsidR="00C275D1">
        <w:t xml:space="preserve">f </w:t>
      </w:r>
      <w:r w:rsidR="0088286B" w:rsidRPr="000D022C">
        <w:t>LAC</w:t>
      </w:r>
      <w:r w:rsidR="00C275D1">
        <w:t xml:space="preserve"> </w:t>
      </w:r>
      <w:r w:rsidR="0088286B" w:rsidRPr="000D022C">
        <w:t xml:space="preserve">countries. </w:t>
      </w:r>
      <w:r w:rsidRPr="000D022C">
        <w:t xml:space="preserve">The question of concern here, then, </w:t>
      </w:r>
      <w:r w:rsidR="001A4416">
        <w:t xml:space="preserve">is </w:t>
      </w:r>
      <w:r w:rsidR="0088286B" w:rsidRPr="000D022C">
        <w:t xml:space="preserve">what </w:t>
      </w:r>
      <w:r w:rsidR="00C42B1A">
        <w:t>dimensions</w:t>
      </w:r>
      <w:r w:rsidR="0088286B" w:rsidRPr="000D022C">
        <w:t xml:space="preserve"> of land institutions</w:t>
      </w:r>
      <w:r w:rsidRPr="000D022C">
        <w:t xml:space="preserve"> are most security-enhancing,</w:t>
      </w:r>
      <w:r w:rsidR="0088286B" w:rsidRPr="000D022C">
        <w:t xml:space="preserve"> allow</w:t>
      </w:r>
      <w:r w:rsidRPr="000D022C">
        <w:t>ing</w:t>
      </w:r>
      <w:r w:rsidR="0088286B" w:rsidRPr="000D022C">
        <w:t xml:space="preserve"> for property to be realized as capital, thereby facilitating access to the credit market</w:t>
      </w:r>
      <w:r w:rsidRPr="000D022C">
        <w:t>?</w:t>
      </w:r>
      <w:r w:rsidR="00DB71D2" w:rsidRPr="000D022C">
        <w:t xml:space="preserve"> </w:t>
      </w:r>
      <w:r w:rsidRPr="000D022C">
        <w:t>Utilizing data on land administration institutions from the World Bank</w:t>
      </w:r>
      <w:r w:rsidR="00852848" w:rsidRPr="000D022C">
        <w:t xml:space="preserve">’s </w:t>
      </w:r>
      <w:r w:rsidR="00852848" w:rsidRPr="000D022C">
        <w:rPr>
          <w:i/>
        </w:rPr>
        <w:t>Doing Business</w:t>
      </w:r>
      <w:r w:rsidR="00852848" w:rsidRPr="000D022C">
        <w:t xml:space="preserve"> dataset</w:t>
      </w:r>
      <w:r w:rsidR="00852848" w:rsidRPr="000D022C">
        <w:rPr>
          <w:rStyle w:val="FootnoteReference"/>
        </w:rPr>
        <w:footnoteReference w:id="12"/>
      </w:r>
      <w:r w:rsidR="00C275D1">
        <w:t xml:space="preserve">, </w:t>
      </w:r>
      <w:r w:rsidRPr="000D022C">
        <w:t xml:space="preserve">this paper seeks to offer insights on how </w:t>
      </w:r>
      <w:r w:rsidR="00C42B1A">
        <w:t>institutions can</w:t>
      </w:r>
      <w:r w:rsidRPr="000D022C">
        <w:t xml:space="preserve"> enhance security within property transactions, thereby increasing access to the credit market. </w:t>
      </w:r>
      <w:r w:rsidR="00D028C4">
        <w:t xml:space="preserve">It is of importance to note that this paper does not aim to provide a prescriptive answer to the property rights paradigm in Latin America and the Caribbean. But rather the aim of this paper is to further </w:t>
      </w:r>
      <w:r w:rsidR="00044DD4">
        <w:t>this</w:t>
      </w:r>
      <w:r w:rsidR="00D028C4">
        <w:t xml:space="preserve"> discussion and </w:t>
      </w:r>
      <w:r w:rsidR="00C42B1A">
        <w:t xml:space="preserve">recommend </w:t>
      </w:r>
      <w:r w:rsidR="00044DD4">
        <w:t>a policy path, informed by the literature review</w:t>
      </w:r>
      <w:r w:rsidR="00C42B1A">
        <w:t xml:space="preserve"> and regression analysis. </w:t>
      </w:r>
    </w:p>
    <w:p w14:paraId="246ADAFB" w14:textId="3E5F9A9A" w:rsidR="00DB71D2" w:rsidRPr="000D022C" w:rsidRDefault="000C44BA" w:rsidP="00D028C4">
      <w:pPr>
        <w:pStyle w:val="NormalWeb"/>
        <w:spacing w:line="360" w:lineRule="auto"/>
        <w:ind w:firstLine="720"/>
      </w:pPr>
      <w:r w:rsidRPr="000D022C">
        <w:t xml:space="preserve">In regards to the policy avenue for </w:t>
      </w:r>
      <w:r w:rsidR="00985825" w:rsidRPr="000D022C">
        <w:t>enhanc</w:t>
      </w:r>
      <w:r w:rsidR="001A4416">
        <w:t>ing</w:t>
      </w:r>
      <w:r w:rsidR="00985825" w:rsidRPr="000D022C">
        <w:t xml:space="preserve"> </w:t>
      </w:r>
      <w:r w:rsidR="00C42B1A">
        <w:t>security</w:t>
      </w:r>
      <w:r w:rsidR="00985825" w:rsidRPr="000D022C">
        <w:t xml:space="preserve">, this paper is in support of advancing the development of </w:t>
      </w:r>
      <w:r w:rsidR="007013B6">
        <w:t>geographic information system (GIS)</w:t>
      </w:r>
      <w:r w:rsidR="00985825" w:rsidRPr="000D022C">
        <w:t xml:space="preserve"> technology in the</w:t>
      </w:r>
      <w:r w:rsidRPr="000D022C">
        <w:t xml:space="preserve"> LAC</w:t>
      </w:r>
      <w:r w:rsidR="00985825" w:rsidRPr="000D022C">
        <w:t xml:space="preserve"> region. The digitalization of the land administration system </w:t>
      </w:r>
      <w:r w:rsidRPr="000D022C">
        <w:t>has been shown to securitize</w:t>
      </w:r>
      <w:r w:rsidR="00985825" w:rsidRPr="000D022C">
        <w:t xml:space="preserve"> property transactions through the </w:t>
      </w:r>
      <w:r w:rsidR="00C42B1A">
        <w:t>reliability, quality, and transparency</w:t>
      </w:r>
      <w:r w:rsidR="00985825" w:rsidRPr="000D022C">
        <w:t xml:space="preserve"> that technology and online information can inherently provide.</w:t>
      </w:r>
      <w:r w:rsidRPr="000D022C">
        <w:rPr>
          <w:rStyle w:val="FootnoteReference"/>
        </w:rPr>
        <w:footnoteReference w:id="13"/>
      </w:r>
      <w:r w:rsidR="00985825" w:rsidRPr="000D022C">
        <w:t xml:space="preserve"> Nonetheless, this paper acknowledges the limitations of digitalization and thus stresses the need for a local and participatory dimension to complement and inform the technological processes.</w:t>
      </w:r>
    </w:p>
    <w:p w14:paraId="325F8C54" w14:textId="0B31A034" w:rsidR="00260585" w:rsidRDefault="000C44BA" w:rsidP="00260585">
      <w:pPr>
        <w:pStyle w:val="NormalWeb"/>
        <w:spacing w:line="360" w:lineRule="auto"/>
        <w:ind w:firstLine="720"/>
      </w:pPr>
      <w:r w:rsidRPr="000D022C">
        <w:t xml:space="preserve">The </w:t>
      </w:r>
      <w:r w:rsidR="00DB71D2" w:rsidRPr="000D022C">
        <w:t xml:space="preserve">remainder of this </w:t>
      </w:r>
      <w:r w:rsidRPr="000D022C">
        <w:t xml:space="preserve">paper is structured as follows. </w:t>
      </w:r>
      <w:r w:rsidR="00DB71D2" w:rsidRPr="000D022C">
        <w:t>The next section (</w:t>
      </w:r>
      <w:r w:rsidR="00C275D1">
        <w:t xml:space="preserve">Section </w:t>
      </w:r>
      <w:r w:rsidR="00DB71D2" w:rsidRPr="000D022C">
        <w:t>II) will provide</w:t>
      </w:r>
      <w:r w:rsidRPr="000D022C">
        <w:t xml:space="preserve"> a discussion o</w:t>
      </w:r>
      <w:r w:rsidR="00DB71D2" w:rsidRPr="000D022C">
        <w:t>f the property rights theory of development popularized by Hernando de Soto and its influence on land polic</w:t>
      </w:r>
      <w:r w:rsidR="001A4416">
        <w:t>i</w:t>
      </w:r>
      <w:r w:rsidR="00DB71D2" w:rsidRPr="000D022C">
        <w:t>es and practice.</w:t>
      </w:r>
      <w:r w:rsidR="00C42B1A">
        <w:t xml:space="preserve"> Additionally, this section will identify issues that have been noted with this theory.</w:t>
      </w:r>
      <w:r w:rsidR="00DB71D2" w:rsidRPr="000D022C">
        <w:t xml:space="preserve"> Section III focuses the discussion of property rights on the dimension of security and </w:t>
      </w:r>
      <w:r w:rsidR="009073A8">
        <w:t xml:space="preserve">the collateral potential of property. </w:t>
      </w:r>
      <w:r w:rsidR="009073A8" w:rsidRPr="000D022C">
        <w:t xml:space="preserve">Section IV outlines the methodology </w:t>
      </w:r>
      <w:r w:rsidR="009073A8">
        <w:t>for</w:t>
      </w:r>
      <w:r w:rsidR="009073A8" w:rsidRPr="000D022C">
        <w:t xml:space="preserve"> the</w:t>
      </w:r>
      <w:r w:rsidR="00C42B1A">
        <w:t xml:space="preserve"> </w:t>
      </w:r>
      <w:r w:rsidR="009073A8" w:rsidRPr="000D022C">
        <w:t xml:space="preserve">research contribution </w:t>
      </w:r>
      <w:r w:rsidR="009073A8">
        <w:t>made by</w:t>
      </w:r>
      <w:r w:rsidR="009073A8" w:rsidRPr="000D022C">
        <w:t xml:space="preserve"> this paper</w:t>
      </w:r>
      <w:r w:rsidR="009073A8">
        <w:t xml:space="preserve">. </w:t>
      </w:r>
      <w:r w:rsidR="009073A8" w:rsidRPr="000D022C">
        <w:t xml:space="preserve">This section also </w:t>
      </w:r>
      <w:r w:rsidR="009073A8">
        <w:t xml:space="preserve">details this </w:t>
      </w:r>
      <w:r w:rsidR="009073A8">
        <w:lastRenderedPageBreak/>
        <w:t xml:space="preserve">paper’s source of secondary data—The </w:t>
      </w:r>
      <w:r w:rsidR="009073A8" w:rsidRPr="000D022C">
        <w:t xml:space="preserve">World Bank’s </w:t>
      </w:r>
      <w:r w:rsidR="009073A8" w:rsidRPr="000D022C">
        <w:rPr>
          <w:i/>
        </w:rPr>
        <w:t xml:space="preserve">Doing Business </w:t>
      </w:r>
      <w:r w:rsidR="009073A8" w:rsidRPr="000D022C">
        <w:t xml:space="preserve">Index and the applicability of the indicators </w:t>
      </w:r>
      <w:r w:rsidR="00C42B1A">
        <w:t>for</w:t>
      </w:r>
      <w:r w:rsidR="009073A8" w:rsidRPr="000D022C">
        <w:t xml:space="preserve"> this paper.</w:t>
      </w:r>
      <w:r w:rsidR="009073A8">
        <w:t xml:space="preserve"> </w:t>
      </w:r>
      <w:r w:rsidR="000D022C" w:rsidRPr="000D022C">
        <w:t xml:space="preserve">Section V discusses this paper’s research findings as well as the limitations to these findings. Section VI concludes with policy recommendations and suggestions for future research. </w:t>
      </w:r>
    </w:p>
    <w:p w14:paraId="16972E63" w14:textId="77777777" w:rsidR="00AA6646" w:rsidRDefault="003463CE" w:rsidP="00260585">
      <w:pPr>
        <w:pStyle w:val="Heading1"/>
        <w:spacing w:line="480" w:lineRule="auto"/>
        <w:rPr>
          <w:rFonts w:ascii="Rockwell" w:hAnsi="Rockwell"/>
          <w:sz w:val="28"/>
          <w:szCs w:val="28"/>
        </w:rPr>
      </w:pPr>
      <w:bookmarkStart w:id="2" w:name="_Toc78045071"/>
      <w:r>
        <w:rPr>
          <w:rFonts w:ascii="Rockwell" w:hAnsi="Rockwell"/>
          <w:sz w:val="28"/>
          <w:szCs w:val="28"/>
        </w:rPr>
        <w:t>2</w:t>
      </w:r>
      <w:r w:rsidR="00D378D6" w:rsidRPr="003463CE">
        <w:rPr>
          <w:rFonts w:ascii="Rockwell" w:hAnsi="Rockwell"/>
          <w:sz w:val="28"/>
          <w:szCs w:val="28"/>
        </w:rPr>
        <w:t xml:space="preserve">. </w:t>
      </w:r>
      <w:r w:rsidR="00D657D4" w:rsidRPr="003463CE">
        <w:rPr>
          <w:rFonts w:ascii="Rockwell" w:hAnsi="Rockwell"/>
          <w:sz w:val="28"/>
          <w:szCs w:val="28"/>
        </w:rPr>
        <w:t>d</w:t>
      </w:r>
      <w:r w:rsidR="00D378D6" w:rsidRPr="003463CE">
        <w:rPr>
          <w:rFonts w:ascii="Rockwell" w:hAnsi="Rockwell"/>
          <w:sz w:val="28"/>
          <w:szCs w:val="28"/>
        </w:rPr>
        <w:t>e Soto</w:t>
      </w:r>
      <w:r w:rsidR="00E42E05">
        <w:rPr>
          <w:rFonts w:ascii="Rockwell" w:hAnsi="Rockwell"/>
          <w:sz w:val="28"/>
          <w:szCs w:val="28"/>
        </w:rPr>
        <w:t>’s</w:t>
      </w:r>
      <w:r w:rsidR="00D378D6" w:rsidRPr="003463CE">
        <w:rPr>
          <w:rFonts w:ascii="Rockwell" w:hAnsi="Rockwell"/>
          <w:sz w:val="28"/>
          <w:szCs w:val="28"/>
        </w:rPr>
        <w:t xml:space="preserve"> Solution</w:t>
      </w:r>
      <w:bookmarkEnd w:id="2"/>
    </w:p>
    <w:p w14:paraId="40DB4476" w14:textId="77777777" w:rsidR="00324B94" w:rsidRPr="00324B94" w:rsidRDefault="00324B94" w:rsidP="00260585">
      <w:pPr>
        <w:pStyle w:val="Heading2"/>
        <w:rPr>
          <w:rFonts w:ascii="Rockwell" w:hAnsi="Rockwell"/>
          <w:color w:val="4472C4" w:themeColor="accent1"/>
        </w:rPr>
      </w:pPr>
      <w:bookmarkStart w:id="3" w:name="_Toc78045072"/>
      <w:r w:rsidRPr="00324B94">
        <w:rPr>
          <w:rFonts w:ascii="Rockwell" w:hAnsi="Rockwell"/>
          <w:color w:val="4472C4" w:themeColor="accent1"/>
        </w:rPr>
        <w:t>2.1 Influence of de Soto</w:t>
      </w:r>
      <w:bookmarkEnd w:id="3"/>
    </w:p>
    <w:p w14:paraId="36DE3B0F" w14:textId="1012696E" w:rsidR="00F77BD7" w:rsidRDefault="00C275D1" w:rsidP="00260585">
      <w:pPr>
        <w:pStyle w:val="NormalWeb"/>
        <w:spacing w:line="360" w:lineRule="auto"/>
        <w:ind w:firstLine="720"/>
        <w:rPr>
          <w:color w:val="000000" w:themeColor="text1"/>
        </w:rPr>
      </w:pPr>
      <w:r>
        <w:rPr>
          <w:color w:val="000000" w:themeColor="text1"/>
        </w:rPr>
        <w:t>This paper</w:t>
      </w:r>
      <w:r w:rsidR="00B83F47" w:rsidRPr="00B83F47">
        <w:rPr>
          <w:color w:val="000000" w:themeColor="text1"/>
        </w:rPr>
        <w:t xml:space="preserve"> attempt</w:t>
      </w:r>
      <w:r>
        <w:rPr>
          <w:color w:val="000000" w:themeColor="text1"/>
        </w:rPr>
        <w:t>s</w:t>
      </w:r>
      <w:r w:rsidR="00B83F47" w:rsidRPr="00B83F47">
        <w:rPr>
          <w:color w:val="000000" w:themeColor="text1"/>
        </w:rPr>
        <w:t xml:space="preserve"> to advance the understanding of</w:t>
      </w:r>
      <w:r w:rsidR="00B83F47">
        <w:rPr>
          <w:color w:val="000000" w:themeColor="text1"/>
        </w:rPr>
        <w:t xml:space="preserve"> a property-rights approach to development that has gained popularity in recent years. </w:t>
      </w:r>
      <w:r w:rsidR="00572805">
        <w:rPr>
          <w:color w:val="000000" w:themeColor="text1"/>
        </w:rPr>
        <w:t xml:space="preserve">Peruvian economist, </w:t>
      </w:r>
      <w:r w:rsidR="00A655CD" w:rsidRPr="00A655CD">
        <w:rPr>
          <w:color w:val="000000" w:themeColor="text1"/>
        </w:rPr>
        <w:t>Hernando de Soto</w:t>
      </w:r>
      <w:r>
        <w:rPr>
          <w:color w:val="000000" w:themeColor="text1"/>
        </w:rPr>
        <w:t>,</w:t>
      </w:r>
      <w:r w:rsidR="00A655CD" w:rsidRPr="00A655CD">
        <w:rPr>
          <w:color w:val="000000" w:themeColor="text1"/>
        </w:rPr>
        <w:t xml:space="preserve"> has become an influential </w:t>
      </w:r>
      <w:r w:rsidR="00572805">
        <w:rPr>
          <w:color w:val="000000" w:themeColor="text1"/>
        </w:rPr>
        <w:t>theorist</w:t>
      </w:r>
      <w:r w:rsidR="00A655CD">
        <w:rPr>
          <w:color w:val="000000" w:themeColor="text1"/>
        </w:rPr>
        <w:t xml:space="preserve"> in</w:t>
      </w:r>
      <w:r w:rsidR="000671CF">
        <w:rPr>
          <w:color w:val="000000" w:themeColor="text1"/>
        </w:rPr>
        <w:t xml:space="preserve"> the</w:t>
      </w:r>
      <w:r w:rsidR="00A655CD">
        <w:rPr>
          <w:color w:val="000000" w:themeColor="text1"/>
        </w:rPr>
        <w:t xml:space="preserve"> property</w:t>
      </w:r>
      <w:r w:rsidR="00913A06">
        <w:rPr>
          <w:color w:val="000000" w:themeColor="text1"/>
        </w:rPr>
        <w:t>-rights</w:t>
      </w:r>
      <w:r w:rsidR="00A655CD">
        <w:rPr>
          <w:color w:val="000000" w:themeColor="text1"/>
        </w:rPr>
        <w:t xml:space="preserve"> literature. His first book, </w:t>
      </w:r>
      <w:r w:rsidR="00A655CD">
        <w:rPr>
          <w:i/>
          <w:color w:val="000000" w:themeColor="text1"/>
        </w:rPr>
        <w:t>The Other Path: The Economic Answer to Terroris</w:t>
      </w:r>
      <w:r>
        <w:rPr>
          <w:i/>
          <w:color w:val="000000" w:themeColor="text1"/>
        </w:rPr>
        <w:t>m</w:t>
      </w:r>
      <w:r w:rsidR="00572805">
        <w:rPr>
          <w:rStyle w:val="FootnoteReference"/>
          <w:i/>
          <w:color w:val="000000" w:themeColor="text1"/>
        </w:rPr>
        <w:footnoteReference w:id="14"/>
      </w:r>
      <w:r>
        <w:rPr>
          <w:i/>
          <w:color w:val="000000" w:themeColor="text1"/>
        </w:rPr>
        <w:t>,</w:t>
      </w:r>
      <w:r w:rsidR="00A655CD">
        <w:rPr>
          <w:i/>
          <w:color w:val="000000" w:themeColor="text1"/>
        </w:rPr>
        <w:t xml:space="preserve"> </w:t>
      </w:r>
      <w:r w:rsidR="00913A06">
        <w:rPr>
          <w:color w:val="000000" w:themeColor="text1"/>
        </w:rPr>
        <w:t xml:space="preserve">quickly became a </w:t>
      </w:r>
      <w:r w:rsidR="00A655CD">
        <w:rPr>
          <w:color w:val="000000" w:themeColor="text1"/>
        </w:rPr>
        <w:t>best-seller in Latin Americ</w:t>
      </w:r>
      <w:r w:rsidR="00913A06">
        <w:rPr>
          <w:color w:val="000000" w:themeColor="text1"/>
        </w:rPr>
        <w:t>a</w:t>
      </w:r>
      <w:r w:rsidR="000B0420">
        <w:rPr>
          <w:color w:val="000000" w:themeColor="text1"/>
        </w:rPr>
        <w:t xml:space="preserve"> and the Caribbean</w:t>
      </w:r>
      <w:r w:rsidR="00913A06">
        <w:rPr>
          <w:color w:val="000000" w:themeColor="text1"/>
        </w:rPr>
        <w:t xml:space="preserve"> following its publication in 1989.</w:t>
      </w:r>
      <w:r w:rsidR="00B83F47">
        <w:rPr>
          <w:color w:val="000000" w:themeColor="text1"/>
        </w:rPr>
        <w:t xml:space="preserve"> Shortly after, de</w:t>
      </w:r>
      <w:r w:rsidR="00913A06">
        <w:rPr>
          <w:color w:val="000000" w:themeColor="text1"/>
        </w:rPr>
        <w:t xml:space="preserve"> Soto released </w:t>
      </w:r>
      <w:r w:rsidR="00B83F47">
        <w:rPr>
          <w:color w:val="000000" w:themeColor="text1"/>
        </w:rPr>
        <w:t>a</w:t>
      </w:r>
      <w:r w:rsidR="00913A06">
        <w:rPr>
          <w:color w:val="000000" w:themeColor="text1"/>
        </w:rPr>
        <w:t xml:space="preserve"> second book, </w:t>
      </w:r>
      <w:r w:rsidR="00913A06" w:rsidRPr="00572805">
        <w:rPr>
          <w:bCs/>
          <w:i/>
          <w:color w:val="000000" w:themeColor="text1"/>
        </w:rPr>
        <w:t>The Mystery of Capital:</w:t>
      </w:r>
      <w:r w:rsidR="00913A06" w:rsidRPr="00572805">
        <w:rPr>
          <w:b/>
          <w:bCs/>
          <w:i/>
          <w:color w:val="000000" w:themeColor="text1"/>
        </w:rPr>
        <w:t xml:space="preserve"> </w:t>
      </w:r>
      <w:r w:rsidR="00913A06" w:rsidRPr="00572805">
        <w:rPr>
          <w:i/>
          <w:color w:val="000000" w:themeColor="text1"/>
        </w:rPr>
        <w:t>Why Capitalism Triumphs in the West and Fails Everywhere Else</w:t>
      </w:r>
      <w:r w:rsidR="00913A06">
        <w:rPr>
          <w:rStyle w:val="FootnoteReference"/>
          <w:i/>
          <w:color w:val="000000" w:themeColor="text1"/>
        </w:rPr>
        <w:footnoteReference w:id="15"/>
      </w:r>
      <w:r>
        <w:rPr>
          <w:i/>
          <w:color w:val="000000" w:themeColor="text1"/>
        </w:rPr>
        <w:t>,</w:t>
      </w:r>
      <w:r w:rsidR="00913A06">
        <w:rPr>
          <w:color w:val="000000" w:themeColor="text1"/>
        </w:rPr>
        <w:t xml:space="preserve"> expanding upon his ideas presented in </w:t>
      </w:r>
      <w:r w:rsidR="00913A06">
        <w:rPr>
          <w:i/>
          <w:color w:val="000000" w:themeColor="text1"/>
        </w:rPr>
        <w:t>The Other Path.</w:t>
      </w:r>
      <w:r w:rsidR="00913A06" w:rsidRPr="00913A06">
        <w:rPr>
          <w:color w:val="000000" w:themeColor="text1"/>
        </w:rPr>
        <w:t xml:space="preserve"> </w:t>
      </w:r>
      <w:r w:rsidR="00913A06">
        <w:rPr>
          <w:color w:val="000000" w:themeColor="text1"/>
        </w:rPr>
        <w:t>Since the publication of these influential books, de Soto’s ideas have spread beyond academia and have</w:t>
      </w:r>
      <w:r w:rsidR="00B83F47">
        <w:rPr>
          <w:color w:val="000000" w:themeColor="text1"/>
        </w:rPr>
        <w:t xml:space="preserve"> since</w:t>
      </w:r>
      <w:r w:rsidR="00913A06">
        <w:rPr>
          <w:color w:val="000000" w:themeColor="text1"/>
        </w:rPr>
        <w:t xml:space="preserve"> gained popularity among policymakers. The influence of de Soto’s property-rights approach to development can </w:t>
      </w:r>
      <w:r w:rsidR="001A4416">
        <w:rPr>
          <w:color w:val="000000" w:themeColor="text1"/>
        </w:rPr>
        <w:t>be</w:t>
      </w:r>
      <w:r w:rsidR="00913A06">
        <w:rPr>
          <w:color w:val="000000" w:themeColor="text1"/>
        </w:rPr>
        <w:t xml:space="preserve"> seen across </w:t>
      </w:r>
      <w:r w:rsidR="000B0420">
        <w:rPr>
          <w:color w:val="000000" w:themeColor="text1"/>
        </w:rPr>
        <w:t xml:space="preserve">LAC </w:t>
      </w:r>
      <w:r w:rsidR="00913A06">
        <w:rPr>
          <w:color w:val="000000" w:themeColor="text1"/>
        </w:rPr>
        <w:t>cities and countries as it has become actualized in policies and practice.</w:t>
      </w:r>
      <w:r w:rsidR="00913A06">
        <w:rPr>
          <w:rStyle w:val="FootnoteReference"/>
          <w:color w:val="000000" w:themeColor="text1"/>
        </w:rPr>
        <w:footnoteReference w:id="16"/>
      </w:r>
      <w:r w:rsidR="00B83F47">
        <w:rPr>
          <w:color w:val="000000" w:themeColor="text1"/>
        </w:rPr>
        <w:t xml:space="preserve"> </w:t>
      </w:r>
    </w:p>
    <w:p w14:paraId="068C8046" w14:textId="2D0B3FB1" w:rsidR="00B24511" w:rsidRDefault="00852A5A" w:rsidP="00260585">
      <w:pPr>
        <w:pStyle w:val="NormalWeb"/>
        <w:spacing w:line="360" w:lineRule="auto"/>
        <w:ind w:firstLine="720"/>
      </w:pPr>
      <w:r>
        <w:rPr>
          <w:color w:val="000000" w:themeColor="text1"/>
        </w:rPr>
        <w:t xml:space="preserve">Many </w:t>
      </w:r>
      <w:r w:rsidR="00B83F47">
        <w:rPr>
          <w:color w:val="000000" w:themeColor="text1"/>
        </w:rPr>
        <w:t>L</w:t>
      </w:r>
      <w:r w:rsidR="000B0420">
        <w:rPr>
          <w:color w:val="000000" w:themeColor="text1"/>
        </w:rPr>
        <w:t xml:space="preserve">AC </w:t>
      </w:r>
      <w:r w:rsidR="00B83F47">
        <w:rPr>
          <w:color w:val="000000" w:themeColor="text1"/>
        </w:rPr>
        <w:t>policymakers have accepted de Soto’s rhetoric as “</w:t>
      </w:r>
      <w:r w:rsidR="00B83F47" w:rsidRPr="0006296B">
        <w:rPr>
          <w:color w:val="000000" w:themeColor="text1"/>
        </w:rPr>
        <w:t>a route to tenure security, economic development and poverty reduction in urban and peri-urban areas”</w:t>
      </w:r>
      <w:r w:rsidR="00B83F47">
        <w:rPr>
          <w:color w:val="000000" w:themeColor="text1"/>
        </w:rPr>
        <w:t xml:space="preserve"> within the region.</w:t>
      </w:r>
      <w:r w:rsidR="00B83F47" w:rsidRPr="0006296B">
        <w:rPr>
          <w:rStyle w:val="FootnoteReference"/>
          <w:color w:val="000000" w:themeColor="text1"/>
        </w:rPr>
        <w:footnoteReference w:id="17"/>
      </w:r>
      <w:r w:rsidR="00E94EE8">
        <w:rPr>
          <w:color w:val="000000" w:themeColor="text1"/>
        </w:rPr>
        <w:t xml:space="preserve"> Nonetheless, the </w:t>
      </w:r>
      <w:r w:rsidR="009C642E">
        <w:rPr>
          <w:color w:val="000000" w:themeColor="text1"/>
        </w:rPr>
        <w:t>empirical evidence in support of de Soto’s causal logic of formalization and credit market access seems to be lacking in countries who have followed de Soto on ‘the other path’ to development.</w:t>
      </w:r>
      <w:r w:rsidR="00B24511">
        <w:rPr>
          <w:color w:val="000000" w:themeColor="text1"/>
        </w:rPr>
        <w:t xml:space="preserve"> Goldfinch (2015) finds that</w:t>
      </w:r>
      <w:r w:rsidR="00B24511">
        <w:t xml:space="preserve"> </w:t>
      </w:r>
      <w:r w:rsidR="00B24511" w:rsidRPr="0006296B">
        <w:t xml:space="preserve">“the most devastating critique of de Soto’s thesis is the lack of empirical support for one of his central claims – that title assists in the </w:t>
      </w:r>
      <w:r w:rsidR="00B24511" w:rsidRPr="0006296B">
        <w:lastRenderedPageBreak/>
        <w:t>gaining of credit.</w:t>
      </w:r>
      <w:r w:rsidR="00B24511">
        <w:t>”</w:t>
      </w:r>
      <w:r w:rsidR="00B24511">
        <w:rPr>
          <w:rStyle w:val="FootnoteReference"/>
        </w:rPr>
        <w:footnoteReference w:id="18"/>
      </w:r>
      <w:r>
        <w:t xml:space="preserve"> </w:t>
      </w:r>
      <w:r w:rsidR="00D657D4">
        <w:t xml:space="preserve">This paper seeks to understand where de Soto’s theory falls short in producing desirable economic outcomes </w:t>
      </w:r>
      <w:r w:rsidR="00F77BD7">
        <w:t>in the context of Latin America and the Caribbean.</w:t>
      </w:r>
    </w:p>
    <w:p w14:paraId="5721BE64" w14:textId="77777777" w:rsidR="004F2C55" w:rsidRPr="009C642E" w:rsidRDefault="004F2C55" w:rsidP="009415F9">
      <w:pPr>
        <w:spacing w:line="360" w:lineRule="auto"/>
        <w:ind w:firstLine="720"/>
        <w:rPr>
          <w:color w:val="000000" w:themeColor="text1"/>
        </w:rPr>
      </w:pPr>
      <w:r>
        <w:rPr>
          <w:color w:val="000000" w:themeColor="text1"/>
        </w:rPr>
        <w:t>Using the words of de Soto</w:t>
      </w:r>
      <w:r w:rsidR="00C96BFB">
        <w:rPr>
          <w:color w:val="000000" w:themeColor="text1"/>
        </w:rPr>
        <w:t xml:space="preserve"> (200</w:t>
      </w:r>
      <w:r w:rsidR="00E75E78">
        <w:rPr>
          <w:color w:val="000000" w:themeColor="text1"/>
        </w:rPr>
        <w:t>1</w:t>
      </w:r>
      <w:r w:rsidR="00C96BFB">
        <w:rPr>
          <w:color w:val="000000" w:themeColor="text1"/>
        </w:rPr>
        <w:t>)</w:t>
      </w:r>
      <w:r>
        <w:rPr>
          <w:color w:val="000000" w:themeColor="text1"/>
        </w:rPr>
        <w:t xml:space="preserve"> to summarize his message in </w:t>
      </w:r>
      <w:r>
        <w:rPr>
          <w:i/>
          <w:color w:val="000000" w:themeColor="text1"/>
        </w:rPr>
        <w:t xml:space="preserve">The Other Path </w:t>
      </w:r>
      <w:r>
        <w:rPr>
          <w:color w:val="000000" w:themeColor="text1"/>
        </w:rPr>
        <w:t xml:space="preserve">and </w:t>
      </w:r>
      <w:r>
        <w:rPr>
          <w:i/>
          <w:color w:val="000000" w:themeColor="text1"/>
        </w:rPr>
        <w:t>The Mystery of Capital</w:t>
      </w:r>
      <w:r>
        <w:rPr>
          <w:color w:val="000000" w:themeColor="text1"/>
        </w:rPr>
        <w:t>:</w:t>
      </w:r>
    </w:p>
    <w:p w14:paraId="4491EEAD" w14:textId="77777777" w:rsidR="004F2C55" w:rsidRPr="002B792E" w:rsidRDefault="004F2C55" w:rsidP="009415F9">
      <w:pPr>
        <w:pStyle w:val="NormalWeb"/>
        <w:spacing w:line="360" w:lineRule="auto"/>
        <w:ind w:left="720"/>
        <w:rPr>
          <w:i/>
          <w:color w:val="4472C4" w:themeColor="accent1"/>
          <w:shd w:val="clear" w:color="auto" w:fill="FFFFFF"/>
        </w:rPr>
      </w:pPr>
      <w:r w:rsidRPr="002B792E">
        <w:rPr>
          <w:i/>
          <w:color w:val="4472C4" w:themeColor="accent1"/>
        </w:rPr>
        <w:t>“</w:t>
      </w:r>
      <w:r w:rsidRPr="002B792E">
        <w:rPr>
          <w:i/>
          <w:color w:val="4472C4" w:themeColor="accent1"/>
          <w:shd w:val="clear" w:color="auto" w:fill="FFFFFF"/>
        </w:rPr>
        <w:t>What the poor lack is easy access to the property mechanisms that could legally fix the economic potential of their assets so that they could be used to produce, secure, or guarantee greater value in the expanded market…</w:t>
      </w:r>
    </w:p>
    <w:p w14:paraId="2D7E2F5A" w14:textId="77777777" w:rsidR="009C642E" w:rsidRPr="002B792E" w:rsidRDefault="004F2C55" w:rsidP="009415F9">
      <w:pPr>
        <w:pStyle w:val="NormalWeb"/>
        <w:spacing w:line="360" w:lineRule="auto"/>
        <w:ind w:left="720"/>
        <w:rPr>
          <w:i/>
        </w:rPr>
      </w:pPr>
      <w:r w:rsidRPr="002B792E">
        <w:rPr>
          <w:i/>
          <w:color w:val="4472C4" w:themeColor="accent1"/>
          <w:shd w:val="clear" w:color="auto" w:fill="FFFFFF"/>
        </w:rPr>
        <w:t>Formal property records and titles thus represent our shared concept of what is economically meaningful about any asset. They capture and organize all the relevant information required to conceptualize the potential value of an asset and so allow us to control it.”</w:t>
      </w:r>
      <w:r w:rsidRPr="002B792E">
        <w:rPr>
          <w:rStyle w:val="FootnoteReference"/>
          <w:color w:val="000000" w:themeColor="text1"/>
          <w:shd w:val="clear" w:color="auto" w:fill="FFFFFF"/>
        </w:rPr>
        <w:footnoteReference w:id="19"/>
      </w:r>
    </w:p>
    <w:p w14:paraId="4B1A8286" w14:textId="15A61B41" w:rsidR="00260585" w:rsidRDefault="00C96BFB" w:rsidP="00260585">
      <w:pPr>
        <w:spacing w:line="360" w:lineRule="auto"/>
        <w:rPr>
          <w:color w:val="000000" w:themeColor="text1"/>
          <w:shd w:val="clear" w:color="auto" w:fill="FFFFFF"/>
        </w:rPr>
      </w:pPr>
      <w:r>
        <w:rPr>
          <w:color w:val="000000" w:themeColor="text1"/>
        </w:rPr>
        <w:t xml:space="preserve">Following this logic, a formal title is necessary for any property to be utilized as an economic asset. De </w:t>
      </w:r>
      <w:r w:rsidR="001A4416">
        <w:rPr>
          <w:color w:val="000000" w:themeColor="text1"/>
        </w:rPr>
        <w:t>S</w:t>
      </w:r>
      <w:r>
        <w:rPr>
          <w:color w:val="000000" w:themeColor="text1"/>
        </w:rPr>
        <w:t>oto emphasizes the importance of a title as it “</w:t>
      </w:r>
      <w:r w:rsidR="00A97896" w:rsidRPr="00076191">
        <w:rPr>
          <w:color w:val="000000" w:themeColor="text1"/>
          <w:shd w:val="clear" w:color="auto" w:fill="FFFFFF"/>
        </w:rPr>
        <w:t>functions as the means to secure the interests of other parties and to create accountability by providing all the information, references, rules, and enforcement mechanisms required to do so.”</w:t>
      </w:r>
      <w:r>
        <w:rPr>
          <w:rStyle w:val="FootnoteReference"/>
          <w:color w:val="000000" w:themeColor="text1"/>
          <w:shd w:val="clear" w:color="auto" w:fill="FFFFFF"/>
        </w:rPr>
        <w:footnoteReference w:id="20"/>
      </w:r>
      <w:r>
        <w:rPr>
          <w:color w:val="000000" w:themeColor="text1"/>
          <w:shd w:val="clear" w:color="auto" w:fill="FFFFFF"/>
        </w:rPr>
        <w:t xml:space="preserve"> In this sense, a formal title offers a source of security and assurance that an asset </w:t>
      </w:r>
      <w:r w:rsidR="001A4416">
        <w:rPr>
          <w:color w:val="000000" w:themeColor="text1"/>
          <w:shd w:val="clear" w:color="auto" w:fill="FFFFFF"/>
        </w:rPr>
        <w:t xml:space="preserve">is </w:t>
      </w:r>
      <w:r>
        <w:rPr>
          <w:color w:val="000000" w:themeColor="text1"/>
          <w:shd w:val="clear" w:color="auto" w:fill="FFFFFF"/>
        </w:rPr>
        <w:t xml:space="preserve">good for its perceived economic value. </w:t>
      </w:r>
      <w:r w:rsidR="000574C2">
        <w:rPr>
          <w:color w:val="000000" w:themeColor="text1"/>
          <w:shd w:val="clear" w:color="auto" w:fill="FFFFFF"/>
        </w:rPr>
        <w:t>De Soto argues that formal</w:t>
      </w:r>
      <w:r w:rsidR="000B0420">
        <w:rPr>
          <w:color w:val="000000" w:themeColor="text1"/>
          <w:shd w:val="clear" w:color="auto" w:fill="FFFFFF"/>
        </w:rPr>
        <w:t>izing</w:t>
      </w:r>
      <w:r w:rsidR="000574C2">
        <w:rPr>
          <w:color w:val="000000" w:themeColor="text1"/>
          <w:shd w:val="clear" w:color="auto" w:fill="FFFFFF"/>
        </w:rPr>
        <w:t xml:space="preserve"> property not only protects individual ownership but also the security of financial transactions. </w:t>
      </w:r>
      <w:r w:rsidR="00647B65">
        <w:rPr>
          <w:color w:val="000000" w:themeColor="text1"/>
          <w:shd w:val="clear" w:color="auto" w:fill="FFFFFF"/>
        </w:rPr>
        <w:t xml:space="preserve">As a result, </w:t>
      </w:r>
      <w:r w:rsidR="00852A5A">
        <w:rPr>
          <w:color w:val="000000" w:themeColor="text1"/>
          <w:shd w:val="clear" w:color="auto" w:fill="FFFFFF"/>
        </w:rPr>
        <w:t xml:space="preserve">de Soto </w:t>
      </w:r>
      <w:r w:rsidR="00647B65">
        <w:rPr>
          <w:color w:val="000000" w:themeColor="text1"/>
          <w:shd w:val="clear" w:color="auto" w:fill="FFFFFF"/>
        </w:rPr>
        <w:t xml:space="preserve">attributes </w:t>
      </w:r>
      <w:r w:rsidR="000574C2">
        <w:rPr>
          <w:color w:val="000000" w:themeColor="text1"/>
          <w:shd w:val="clear" w:color="auto" w:fill="FFFFFF"/>
        </w:rPr>
        <w:t>the inability of citizens in developing countries to receive credit, among other financial services</w:t>
      </w:r>
      <w:r w:rsidR="00647B65">
        <w:rPr>
          <w:color w:val="000000" w:themeColor="text1"/>
          <w:shd w:val="clear" w:color="auto" w:fill="FFFFFF"/>
        </w:rPr>
        <w:t>, to the</w:t>
      </w:r>
      <w:r w:rsidR="00852A5A">
        <w:rPr>
          <w:color w:val="000000" w:themeColor="text1"/>
          <w:shd w:val="clear" w:color="auto" w:fill="FFFFFF"/>
        </w:rPr>
        <w:t>ir</w:t>
      </w:r>
      <w:r w:rsidR="00647B65">
        <w:rPr>
          <w:color w:val="000000" w:themeColor="text1"/>
          <w:shd w:val="clear" w:color="auto" w:fill="FFFFFF"/>
        </w:rPr>
        <w:t xml:space="preserve"> lack of formal property titles.</w:t>
      </w:r>
      <w:r w:rsidR="000574C2">
        <w:rPr>
          <w:rStyle w:val="FootnoteReference"/>
          <w:color w:val="000000" w:themeColor="text1"/>
          <w:shd w:val="clear" w:color="auto" w:fill="FFFFFF"/>
        </w:rPr>
        <w:footnoteReference w:id="21"/>
      </w:r>
      <w:r w:rsidR="00AA6646">
        <w:rPr>
          <w:color w:val="000000" w:themeColor="text1"/>
          <w:shd w:val="clear" w:color="auto" w:fill="FFFFFF"/>
        </w:rPr>
        <w:t xml:space="preserve"> </w:t>
      </w:r>
      <w:r w:rsidR="00852A5A">
        <w:rPr>
          <w:color w:val="000000" w:themeColor="text1"/>
          <w:shd w:val="clear" w:color="auto" w:fill="FFFFFF"/>
        </w:rPr>
        <w:t xml:space="preserve">However, even after the formalization of property titles has been achieved, the supposed gains from the ability to utilize property as an economic asset have not always been </w:t>
      </w:r>
      <w:r w:rsidR="000671CF">
        <w:rPr>
          <w:color w:val="000000" w:themeColor="text1"/>
          <w:shd w:val="clear" w:color="auto" w:fill="FFFFFF"/>
        </w:rPr>
        <w:t>realized</w:t>
      </w:r>
      <w:r w:rsidR="00852A5A">
        <w:rPr>
          <w:color w:val="000000" w:themeColor="text1"/>
          <w:shd w:val="clear" w:color="auto" w:fill="FFFFFF"/>
        </w:rPr>
        <w:t xml:space="preserve">. </w:t>
      </w:r>
      <w:r w:rsidR="00D545E5">
        <w:rPr>
          <w:color w:val="000000" w:themeColor="text1"/>
          <w:shd w:val="clear" w:color="auto" w:fill="FFFFFF"/>
        </w:rPr>
        <w:t xml:space="preserve">Unfortunately, this has been a common outcome in many Latin American countries, </w:t>
      </w:r>
      <w:r w:rsidR="00852A5A">
        <w:rPr>
          <w:color w:val="000000" w:themeColor="text1"/>
          <w:shd w:val="clear" w:color="auto" w:fill="FFFFFF"/>
        </w:rPr>
        <w:t>even in de Soto’s home country of Peru.</w:t>
      </w:r>
      <w:r w:rsidR="000B0420">
        <w:rPr>
          <w:rStyle w:val="FootnoteReference"/>
          <w:color w:val="000000" w:themeColor="text1"/>
          <w:shd w:val="clear" w:color="auto" w:fill="FFFFFF"/>
        </w:rPr>
        <w:footnoteReference w:id="22"/>
      </w:r>
    </w:p>
    <w:p w14:paraId="60F8EAB4" w14:textId="77777777" w:rsidR="00324B94" w:rsidRPr="00324B94" w:rsidRDefault="00324B94" w:rsidP="009415F9">
      <w:pPr>
        <w:pStyle w:val="Heading2"/>
        <w:spacing w:line="360" w:lineRule="auto"/>
        <w:rPr>
          <w:rFonts w:ascii="Rockwell" w:hAnsi="Rockwell"/>
          <w:color w:val="4472C4" w:themeColor="accent1"/>
          <w:shd w:val="clear" w:color="auto" w:fill="FFFFFF"/>
        </w:rPr>
      </w:pPr>
      <w:bookmarkStart w:id="4" w:name="_Toc78045073"/>
      <w:r w:rsidRPr="00324B94">
        <w:rPr>
          <w:rFonts w:ascii="Rockwell" w:hAnsi="Rockwell"/>
          <w:color w:val="4472C4" w:themeColor="accent1"/>
          <w:shd w:val="clear" w:color="auto" w:fill="FFFFFF"/>
        </w:rPr>
        <w:lastRenderedPageBreak/>
        <w:t>2.2 Critique of de Soto</w:t>
      </w:r>
      <w:bookmarkEnd w:id="4"/>
    </w:p>
    <w:p w14:paraId="4850DE98" w14:textId="207046AF" w:rsidR="00A01F6F" w:rsidRDefault="00D545E5" w:rsidP="009415F9">
      <w:pPr>
        <w:spacing w:before="100" w:beforeAutospacing="1" w:after="100" w:afterAutospacing="1" w:line="360" w:lineRule="auto"/>
        <w:ind w:firstLine="720"/>
        <w:rPr>
          <w:color w:val="000000" w:themeColor="text1"/>
        </w:rPr>
      </w:pPr>
      <w:r w:rsidRPr="001B7165">
        <w:rPr>
          <w:color w:val="000000" w:themeColor="text1"/>
          <w:shd w:val="clear" w:color="auto" w:fill="FFFFFF"/>
        </w:rPr>
        <w:t xml:space="preserve">A reccurring critique of de Soto has been the lack of evidence that formalizing property titles </w:t>
      </w:r>
      <w:r w:rsidR="00865AF1">
        <w:rPr>
          <w:color w:val="000000" w:themeColor="text1"/>
          <w:shd w:val="clear" w:color="auto" w:fill="FFFFFF"/>
        </w:rPr>
        <w:t>will result</w:t>
      </w:r>
      <w:r w:rsidRPr="001B7165">
        <w:rPr>
          <w:color w:val="000000" w:themeColor="text1"/>
          <w:shd w:val="clear" w:color="auto" w:fill="FFFFFF"/>
        </w:rPr>
        <w:t xml:space="preserve"> in credit access, thereby reducing poverty in the developing world. </w:t>
      </w:r>
      <w:r w:rsidR="004B1EAD">
        <w:rPr>
          <w:color w:val="000000" w:themeColor="text1"/>
        </w:rPr>
        <w:t xml:space="preserve">Latorre (2015) </w:t>
      </w:r>
      <w:r w:rsidR="00865AF1">
        <w:rPr>
          <w:color w:val="000000" w:themeColor="text1"/>
        </w:rPr>
        <w:t>finds</w:t>
      </w:r>
      <w:r w:rsidR="004B1EAD">
        <w:rPr>
          <w:color w:val="000000" w:themeColor="text1"/>
        </w:rPr>
        <w:t xml:space="preserve"> </w:t>
      </w:r>
      <w:r w:rsidR="004B1EAD" w:rsidRPr="0006296B">
        <w:rPr>
          <w:color w:val="000000" w:themeColor="text1"/>
        </w:rPr>
        <w:t>“</w:t>
      </w:r>
      <w:r w:rsidR="004B1EAD">
        <w:rPr>
          <w:color w:val="000000" w:themeColor="text1"/>
        </w:rPr>
        <w:t>[m]</w:t>
      </w:r>
      <w:r w:rsidR="004B1EAD" w:rsidRPr="0006296B">
        <w:rPr>
          <w:color w:val="000000" w:themeColor="text1"/>
        </w:rPr>
        <w:t xml:space="preserve">uch like de Soto, officials believe that, from the moment that ownership of unsettled or legally </w:t>
      </w:r>
      <w:r w:rsidR="004B1EAD" w:rsidRPr="00531994">
        <w:rPr>
          <w:color w:val="000000" w:themeColor="text1"/>
        </w:rPr>
        <w:t>disputed land is mapped out and legally defined, progress and wealth will spread.”</w:t>
      </w:r>
      <w:r w:rsidR="004B1EAD" w:rsidRPr="00531994">
        <w:rPr>
          <w:rStyle w:val="FootnoteReference"/>
          <w:color w:val="000000" w:themeColor="text1"/>
        </w:rPr>
        <w:footnoteReference w:id="23"/>
      </w:r>
      <w:r w:rsidR="00865AF1">
        <w:rPr>
          <w:color w:val="000000" w:themeColor="text1"/>
          <w:shd w:val="clear" w:color="auto" w:fill="FFFFFF"/>
        </w:rPr>
        <w:t xml:space="preserve"> For example,</w:t>
      </w:r>
      <w:r w:rsidRPr="001B7165">
        <w:rPr>
          <w:color w:val="000000" w:themeColor="text1"/>
          <w:shd w:val="clear" w:color="auto" w:fill="FFFFFF"/>
        </w:rPr>
        <w:t xml:space="preserve"> in 1996 de Soto collaborated with the Peruvian government to establish the Commission for Formalizing Informal Property.</w:t>
      </w:r>
      <w:r w:rsidRPr="001B7165">
        <w:rPr>
          <w:rStyle w:val="FootnoteReference"/>
          <w:color w:val="000000" w:themeColor="text1"/>
        </w:rPr>
        <w:t xml:space="preserve"> </w:t>
      </w:r>
      <w:r w:rsidRPr="001B7165">
        <w:rPr>
          <w:rStyle w:val="FootnoteReference"/>
          <w:color w:val="000000" w:themeColor="text1"/>
        </w:rPr>
        <w:footnoteReference w:id="24"/>
      </w:r>
      <w:r w:rsidRPr="001B7165">
        <w:rPr>
          <w:color w:val="000000" w:themeColor="text1"/>
        </w:rPr>
        <w:t xml:space="preserve"> Following the lead of de Soto, the Peruvian government </w:t>
      </w:r>
      <w:r w:rsidR="00865AF1">
        <w:rPr>
          <w:color w:val="000000" w:themeColor="text1"/>
        </w:rPr>
        <w:t>was</w:t>
      </w:r>
      <w:r w:rsidRPr="001B7165">
        <w:rPr>
          <w:color w:val="000000" w:themeColor="text1"/>
        </w:rPr>
        <w:t xml:space="preserve"> successful in formalizing the property held by millions of Peruvian </w:t>
      </w:r>
      <w:r w:rsidR="00865AF1">
        <w:rPr>
          <w:color w:val="000000" w:themeColor="text1"/>
        </w:rPr>
        <w:t>residents</w:t>
      </w:r>
      <w:r w:rsidRPr="001B7165">
        <w:rPr>
          <w:color w:val="000000" w:themeColor="text1"/>
        </w:rPr>
        <w:t xml:space="preserve">, both in rural and urban areas. </w:t>
      </w:r>
      <w:r w:rsidR="001B7165" w:rsidRPr="001B7165">
        <w:rPr>
          <w:color w:val="000000" w:themeColor="text1"/>
        </w:rPr>
        <w:t>Yet</w:t>
      </w:r>
      <w:r w:rsidRPr="001B7165">
        <w:rPr>
          <w:color w:val="000000" w:themeColor="text1"/>
        </w:rPr>
        <w:t xml:space="preserve">, </w:t>
      </w:r>
      <w:r w:rsidR="001B7165" w:rsidRPr="001B7165">
        <w:rPr>
          <w:color w:val="000000" w:themeColor="text1"/>
        </w:rPr>
        <w:t xml:space="preserve">contrary to the </w:t>
      </w:r>
      <w:r w:rsidR="00865AF1">
        <w:rPr>
          <w:color w:val="000000" w:themeColor="text1"/>
        </w:rPr>
        <w:t>theorized</w:t>
      </w:r>
      <w:r w:rsidR="001B7165" w:rsidRPr="001B7165">
        <w:rPr>
          <w:color w:val="000000" w:themeColor="text1"/>
        </w:rPr>
        <w:t xml:space="preserve"> benefits of formalization, Peru instead experienced a rise in poverty, not the reduction of it.</w:t>
      </w:r>
      <w:r w:rsidR="001B7165" w:rsidRPr="001B7165">
        <w:rPr>
          <w:rStyle w:val="FootnoteReference"/>
          <w:color w:val="000000" w:themeColor="text1"/>
        </w:rPr>
        <w:footnoteReference w:id="25"/>
      </w:r>
      <w:r w:rsidR="004B1EAD">
        <w:rPr>
          <w:color w:val="000000" w:themeColor="text1"/>
        </w:rPr>
        <w:t xml:space="preserve"> </w:t>
      </w:r>
    </w:p>
    <w:p w14:paraId="617859F0" w14:textId="77777777" w:rsidR="004B1EAD" w:rsidRDefault="004B1EAD" w:rsidP="009415F9">
      <w:pPr>
        <w:spacing w:before="100" w:beforeAutospacing="1" w:after="100" w:afterAutospacing="1" w:line="360" w:lineRule="auto"/>
        <w:ind w:firstLine="720"/>
      </w:pPr>
      <w:r>
        <w:rPr>
          <w:color w:val="000000" w:themeColor="text1"/>
        </w:rPr>
        <w:t xml:space="preserve">Another critique of de Soto is that his theory is neither a </w:t>
      </w:r>
      <w:r w:rsidRPr="004B1EAD">
        <w:rPr>
          <w:color w:val="000000" w:themeColor="text1"/>
        </w:rPr>
        <w:t xml:space="preserve">novel </w:t>
      </w:r>
      <w:r>
        <w:rPr>
          <w:color w:val="000000" w:themeColor="text1"/>
        </w:rPr>
        <w:t xml:space="preserve">nor revolutionary </w:t>
      </w:r>
      <w:r w:rsidRPr="004B1EAD">
        <w:rPr>
          <w:color w:val="000000" w:themeColor="text1"/>
        </w:rPr>
        <w:t>approach to the reduction of poverty, but rather a repackaging of “</w:t>
      </w:r>
      <w:r w:rsidRPr="004B1EAD">
        <w:t>a Washington-consensus type capitalism that had noticeably failed in development terms throughout the ‘lost decades’ of the 1980s and 1990s and continues to be questioned.”</w:t>
      </w:r>
      <w:r w:rsidRPr="004B1EAD">
        <w:rPr>
          <w:rStyle w:val="FootnoteReference"/>
        </w:rPr>
        <w:footnoteReference w:id="26"/>
      </w:r>
      <w:r w:rsidR="00080DAC">
        <w:t xml:space="preserve"> However, de Soto</w:t>
      </w:r>
      <w:r w:rsidR="002B5996">
        <w:t xml:space="preserve"> </w:t>
      </w:r>
      <w:r w:rsidR="00C06354">
        <w:t>does offer</w:t>
      </w:r>
      <w:r w:rsidR="002B5996">
        <w:t xml:space="preserve"> a potential explanation for these less than desirable outcomes</w:t>
      </w:r>
      <w:r w:rsidR="00C06354">
        <w:t xml:space="preserve"> in his discussion of institutions. </w:t>
      </w:r>
    </w:p>
    <w:p w14:paraId="611F3B87" w14:textId="61FAE63F" w:rsidR="00B24511" w:rsidRDefault="00B24511" w:rsidP="009415F9">
      <w:pPr>
        <w:spacing w:line="360" w:lineRule="auto"/>
        <w:ind w:firstLine="720"/>
        <w:rPr>
          <w:color w:val="000000" w:themeColor="text1"/>
          <w:shd w:val="clear" w:color="auto" w:fill="FFFFFF"/>
        </w:rPr>
      </w:pPr>
      <w:r>
        <w:rPr>
          <w:color w:val="000000" w:themeColor="text1"/>
          <w:shd w:val="clear" w:color="auto" w:fill="FFFFFF"/>
        </w:rPr>
        <w:t xml:space="preserve">According to de Soto, </w:t>
      </w:r>
      <w:r w:rsidR="00AA6646">
        <w:rPr>
          <w:color w:val="000000" w:themeColor="text1"/>
          <w:shd w:val="clear" w:color="auto" w:fill="FFFFFF"/>
        </w:rPr>
        <w:t>a key feature of formal property systems is a network of public agencies to protect transactions. Public agencies administer and maintain property records which serve to “</w:t>
      </w:r>
      <w:r w:rsidR="00AA6646" w:rsidRPr="00AA6646">
        <w:rPr>
          <w:color w:val="000000" w:themeColor="text1"/>
          <w:shd w:val="clear" w:color="auto" w:fill="FFFFFF"/>
        </w:rPr>
        <w:t>alert anyone eager to use an asset about things that may restrict or enhance its utilization, such as encumbrances, easements, leases, arrears, bankruptcies, or mortgages</w:t>
      </w:r>
      <w:r w:rsidR="00AA6646">
        <w:rPr>
          <w:color w:val="000000" w:themeColor="text1"/>
          <w:shd w:val="clear" w:color="auto" w:fill="FFFFFF"/>
        </w:rPr>
        <w:t>.”</w:t>
      </w:r>
      <w:r w:rsidR="00AA6646">
        <w:rPr>
          <w:rStyle w:val="FootnoteReference"/>
          <w:color w:val="000000" w:themeColor="text1"/>
          <w:shd w:val="clear" w:color="auto" w:fill="FFFFFF"/>
        </w:rPr>
        <w:footnoteReference w:id="27"/>
      </w:r>
      <w:r w:rsidR="00AA6646">
        <w:rPr>
          <w:color w:val="000000" w:themeColor="text1"/>
          <w:shd w:val="clear" w:color="auto" w:fill="FFFFFF"/>
        </w:rPr>
        <w:t xml:space="preserve"> In sum, public agencies serve to protect the security of </w:t>
      </w:r>
      <w:r w:rsidR="00865AF1">
        <w:rPr>
          <w:color w:val="000000" w:themeColor="text1"/>
          <w:shd w:val="clear" w:color="auto" w:fill="FFFFFF"/>
        </w:rPr>
        <w:t xml:space="preserve">both </w:t>
      </w:r>
      <w:r w:rsidR="00AA6646">
        <w:rPr>
          <w:color w:val="000000" w:themeColor="text1"/>
          <w:shd w:val="clear" w:color="auto" w:fill="FFFFFF"/>
        </w:rPr>
        <w:t xml:space="preserve">ownership and transactions in a formal property system. </w:t>
      </w:r>
      <w:r w:rsidR="00D657D4">
        <w:rPr>
          <w:color w:val="000000" w:themeColor="text1"/>
          <w:shd w:val="clear" w:color="auto" w:fill="FFFFFF"/>
        </w:rPr>
        <w:t xml:space="preserve">De Soto, however, identifies a crucial distinction between the public agencies of Western, developed nations and those found in the developing world. When it comes to the provision of security, de Soto argues that Western systems emphasize the securitization of </w:t>
      </w:r>
      <w:r w:rsidR="00D657D4">
        <w:rPr>
          <w:color w:val="000000" w:themeColor="text1"/>
          <w:shd w:val="clear" w:color="auto" w:fill="FFFFFF"/>
        </w:rPr>
        <w:lastRenderedPageBreak/>
        <w:t>transactions, whereas developing systems tend to prioritize the securitization of ownership. De Soto describes the role of security in formal property systems as:</w:t>
      </w:r>
    </w:p>
    <w:p w14:paraId="063BA71A" w14:textId="77777777" w:rsidR="008F226E" w:rsidRPr="002B792E" w:rsidRDefault="00D657D4" w:rsidP="009415F9">
      <w:pPr>
        <w:pStyle w:val="NormalWeb"/>
        <w:spacing w:line="360" w:lineRule="auto"/>
        <w:ind w:left="720"/>
        <w:rPr>
          <w:color w:val="4472C4" w:themeColor="accent1"/>
        </w:rPr>
      </w:pPr>
      <w:r w:rsidRPr="002B792E">
        <w:rPr>
          <w:i/>
          <w:color w:val="4472C4" w:themeColor="accent1"/>
        </w:rPr>
        <w:t>“</w:t>
      </w:r>
      <w:r w:rsidR="000574C2" w:rsidRPr="002B792E">
        <w:rPr>
          <w:i/>
          <w:color w:val="4472C4" w:themeColor="accent1"/>
        </w:rPr>
        <w:t>Security is principally focused on producing trust in transactions so that people can more easily make their assets lead a parallel life as capital. The Western emphasis on the security of transactions allows citizens to move large amounts of assets with very few transactions.</w:t>
      </w:r>
      <w:r w:rsidRPr="002B792E">
        <w:rPr>
          <w:i/>
          <w:color w:val="4472C4" w:themeColor="accent1"/>
        </w:rPr>
        <w:t>”</w:t>
      </w:r>
      <w:r w:rsidRPr="002B792E">
        <w:rPr>
          <w:rStyle w:val="FootnoteReference"/>
          <w:color w:val="000000" w:themeColor="text1"/>
        </w:rPr>
        <w:footnoteReference w:id="28"/>
      </w:r>
    </w:p>
    <w:p w14:paraId="398649FE" w14:textId="4CC38AB5" w:rsidR="009415F9" w:rsidRDefault="00865AF1" w:rsidP="00260585">
      <w:pPr>
        <w:pStyle w:val="NormalWeb"/>
        <w:spacing w:line="360" w:lineRule="auto"/>
        <w:rPr>
          <w:color w:val="000000" w:themeColor="text1"/>
        </w:rPr>
      </w:pPr>
      <w:r>
        <w:rPr>
          <w:color w:val="000000" w:themeColor="text1"/>
        </w:rPr>
        <w:t>According to de Soto’s reasoning</w:t>
      </w:r>
      <w:r w:rsidR="00690F9B">
        <w:rPr>
          <w:color w:val="000000" w:themeColor="text1"/>
        </w:rPr>
        <w:t>, the failure of titling to result in credit access can be attributed to a lack of security within institutions</w:t>
      </w:r>
      <w:r w:rsidR="000671CF">
        <w:rPr>
          <w:color w:val="000000" w:themeColor="text1"/>
        </w:rPr>
        <w:t xml:space="preserve"> in many Latin American countries</w:t>
      </w:r>
      <w:r w:rsidR="00690F9B">
        <w:rPr>
          <w:color w:val="000000" w:themeColor="text1"/>
        </w:rPr>
        <w:t>.</w:t>
      </w:r>
      <w:r w:rsidR="00C06354">
        <w:rPr>
          <w:color w:val="000000" w:themeColor="text1"/>
        </w:rPr>
        <w:t xml:space="preserve"> </w:t>
      </w:r>
      <w:r w:rsidR="00B63C1A">
        <w:rPr>
          <w:color w:val="000000" w:themeColor="text1"/>
        </w:rPr>
        <w:t xml:space="preserve">Specifically, a lack of security within transactions, hindering the ability of titled property to be pledged as collateral. The following section furthers details the connection between the security of property and collateral ability of property. </w:t>
      </w:r>
    </w:p>
    <w:p w14:paraId="6FD15BEE" w14:textId="77777777" w:rsidR="00D378D6" w:rsidRDefault="00316E23" w:rsidP="00260585">
      <w:pPr>
        <w:pStyle w:val="Heading1"/>
        <w:spacing w:line="360" w:lineRule="auto"/>
        <w:rPr>
          <w:rFonts w:ascii="Rockwell" w:hAnsi="Rockwell"/>
          <w:sz w:val="28"/>
          <w:szCs w:val="28"/>
        </w:rPr>
      </w:pPr>
      <w:bookmarkStart w:id="5" w:name="_Toc78045074"/>
      <w:r>
        <w:rPr>
          <w:rFonts w:ascii="Rockwell" w:hAnsi="Rockwell"/>
          <w:sz w:val="28"/>
          <w:szCs w:val="28"/>
        </w:rPr>
        <w:t>3</w:t>
      </w:r>
      <w:r w:rsidR="00D378D6" w:rsidRPr="003463CE">
        <w:rPr>
          <w:rFonts w:ascii="Rockwell" w:hAnsi="Rockwell"/>
          <w:sz w:val="28"/>
          <w:szCs w:val="28"/>
        </w:rPr>
        <w:t>. Securitization for Collateralization</w:t>
      </w:r>
      <w:bookmarkEnd w:id="5"/>
      <w:r w:rsidR="00D378D6" w:rsidRPr="003463CE">
        <w:rPr>
          <w:rFonts w:ascii="Rockwell" w:hAnsi="Rockwell"/>
          <w:sz w:val="28"/>
          <w:szCs w:val="28"/>
        </w:rPr>
        <w:t xml:space="preserve"> </w:t>
      </w:r>
    </w:p>
    <w:p w14:paraId="4DC09E50" w14:textId="264DF57D" w:rsidR="009F63D3" w:rsidRDefault="00BE5A75" w:rsidP="008A0C05">
      <w:pPr>
        <w:pStyle w:val="NormalWeb"/>
        <w:spacing w:line="360" w:lineRule="auto"/>
        <w:ind w:firstLine="720"/>
        <w:rPr>
          <w:i/>
          <w:color w:val="4472C4" w:themeColor="accent1"/>
        </w:rPr>
      </w:pPr>
      <w:r>
        <w:rPr>
          <w:color w:val="000000" w:themeColor="text1"/>
        </w:rPr>
        <w:t xml:space="preserve">The </w:t>
      </w:r>
      <w:r w:rsidR="009F63D3">
        <w:rPr>
          <w:color w:val="000000" w:themeColor="text1"/>
        </w:rPr>
        <w:t xml:space="preserve">economic </w:t>
      </w:r>
      <w:r>
        <w:rPr>
          <w:color w:val="000000" w:themeColor="text1"/>
        </w:rPr>
        <w:t>relevance of property rights to development lies in the ability of property to be utilized as an economic asset.</w:t>
      </w:r>
      <w:r w:rsidR="00DE4C1C" w:rsidRPr="00DE4C1C">
        <w:rPr>
          <w:color w:val="000000" w:themeColor="text1"/>
        </w:rPr>
        <w:t xml:space="preserve"> </w:t>
      </w:r>
      <w:r w:rsidR="009F63D3" w:rsidRPr="0098186C">
        <w:rPr>
          <w:color w:val="000000" w:themeColor="text1"/>
        </w:rPr>
        <w:t>Hillhorst and Meunier (2015)</w:t>
      </w:r>
      <w:r w:rsidR="009F63D3">
        <w:rPr>
          <w:color w:val="000000" w:themeColor="text1"/>
        </w:rPr>
        <w:t xml:space="preserve"> note that the collateral potential of property can be attributed to the immovable nature of land which implies that </w:t>
      </w:r>
      <w:r w:rsidR="009F63D3" w:rsidRPr="00DE4C1C">
        <w:rPr>
          <w:color w:val="000000" w:themeColor="text1"/>
        </w:rPr>
        <w:t>“with sufficiently liquid land sales markets, [land] can provide ideal collateral for financial markets, boosting entrepreneurial development.”</w:t>
      </w:r>
      <w:r w:rsidR="009F63D3" w:rsidRPr="00DE4C1C">
        <w:rPr>
          <w:rStyle w:val="FootnoteReference"/>
          <w:color w:val="000000" w:themeColor="text1"/>
        </w:rPr>
        <w:t xml:space="preserve"> </w:t>
      </w:r>
      <w:r w:rsidR="009F63D3" w:rsidRPr="0098186C">
        <w:rPr>
          <w:rStyle w:val="FootnoteReference"/>
          <w:color w:val="000000" w:themeColor="text1"/>
        </w:rPr>
        <w:footnoteReference w:id="29"/>
      </w:r>
      <w:r w:rsidR="009F63D3">
        <w:rPr>
          <w:color w:val="000000" w:themeColor="text1"/>
        </w:rPr>
        <w:t xml:space="preserve"> E</w:t>
      </w:r>
      <w:r w:rsidR="00DE4C1C" w:rsidRPr="00630BD2">
        <w:rPr>
          <w:color w:val="000000" w:themeColor="text1"/>
        </w:rPr>
        <w:t>vidence from past studies has</w:t>
      </w:r>
      <w:r w:rsidR="009F63D3">
        <w:rPr>
          <w:color w:val="000000" w:themeColor="text1"/>
        </w:rPr>
        <w:t xml:space="preserve"> also </w:t>
      </w:r>
      <w:r w:rsidR="00DE4C1C" w:rsidRPr="00630BD2">
        <w:rPr>
          <w:color w:val="000000" w:themeColor="text1"/>
        </w:rPr>
        <w:t>found that “improvements in rights which affect the ability of borrowers to use collateral are strongly positively correlated with credit market development in a cross-section of countries.”</w:t>
      </w:r>
      <w:r w:rsidR="00DE4C1C" w:rsidRPr="00630BD2">
        <w:rPr>
          <w:rStyle w:val="FootnoteReference"/>
          <w:color w:val="000000" w:themeColor="text1"/>
        </w:rPr>
        <w:footnoteReference w:id="30"/>
      </w:r>
      <w:r w:rsidR="00865AF1">
        <w:rPr>
          <w:color w:val="000000" w:themeColor="text1"/>
        </w:rPr>
        <w:t xml:space="preserve"> E</w:t>
      </w:r>
      <w:r w:rsidR="00DE4C1C" w:rsidRPr="00630BD2">
        <w:rPr>
          <w:color w:val="000000" w:themeColor="text1"/>
        </w:rPr>
        <w:t xml:space="preserve">nhancing collateral potential </w:t>
      </w:r>
      <w:r w:rsidR="00865AF1">
        <w:rPr>
          <w:color w:val="000000" w:themeColor="text1"/>
        </w:rPr>
        <w:t xml:space="preserve">has also </w:t>
      </w:r>
      <w:r w:rsidR="008A0C05">
        <w:rPr>
          <w:color w:val="000000" w:themeColor="text1"/>
        </w:rPr>
        <w:t xml:space="preserve">been proven </w:t>
      </w:r>
      <w:r w:rsidR="00865AF1">
        <w:rPr>
          <w:color w:val="000000" w:themeColor="text1"/>
        </w:rPr>
        <w:t>to</w:t>
      </w:r>
      <w:r w:rsidR="00DE4C1C" w:rsidRPr="00630BD2">
        <w:rPr>
          <w:color w:val="000000" w:themeColor="text1"/>
        </w:rPr>
        <w:t xml:space="preserve"> result in either larger loans and/or lower interest rates</w:t>
      </w:r>
      <w:r w:rsidR="00865AF1">
        <w:rPr>
          <w:color w:val="000000" w:themeColor="text1"/>
        </w:rPr>
        <w:t xml:space="preserve">, according to the </w:t>
      </w:r>
      <w:r w:rsidR="008A0C05">
        <w:rPr>
          <w:color w:val="000000" w:themeColor="text1"/>
        </w:rPr>
        <w:t>findings</w:t>
      </w:r>
      <w:r w:rsidR="00DE4C1C" w:rsidRPr="00630BD2">
        <w:rPr>
          <w:color w:val="000000" w:themeColor="text1"/>
        </w:rPr>
        <w:t>.</w:t>
      </w:r>
      <w:r w:rsidR="00DE4C1C" w:rsidRPr="00630BD2">
        <w:rPr>
          <w:rStyle w:val="FootnoteReference"/>
          <w:color w:val="000000" w:themeColor="text1"/>
        </w:rPr>
        <w:footnoteReference w:id="31"/>
      </w:r>
      <w:r w:rsidR="009F63D3">
        <w:rPr>
          <w:i/>
          <w:color w:val="4472C4" w:themeColor="accent1"/>
        </w:rPr>
        <w:t xml:space="preserve"> </w:t>
      </w:r>
      <w:r w:rsidR="008A0C05">
        <w:rPr>
          <w:color w:val="000000" w:themeColor="text1"/>
        </w:rPr>
        <w:t>It is important to note, however, that t</w:t>
      </w:r>
      <w:r w:rsidR="009F63D3">
        <w:rPr>
          <w:color w:val="000000" w:themeColor="text1"/>
        </w:rPr>
        <w:t>he process of collateralization of land can only take place</w:t>
      </w:r>
      <w:r w:rsidR="009F63D3">
        <w:rPr>
          <w:i/>
          <w:color w:val="4472C4" w:themeColor="accent1"/>
        </w:rPr>
        <w:t xml:space="preserve"> </w:t>
      </w:r>
      <w:r w:rsidR="009F63D3">
        <w:rPr>
          <w:color w:val="000000" w:themeColor="text1"/>
        </w:rPr>
        <w:t>“</w:t>
      </w:r>
      <w:r w:rsidR="009F63D3" w:rsidRPr="00DE4C1C">
        <w:rPr>
          <w:color w:val="000000" w:themeColor="text1"/>
        </w:rPr>
        <w:t>i</w:t>
      </w:r>
      <w:r w:rsidR="009F63D3">
        <w:rPr>
          <w:color w:val="000000" w:themeColor="text1"/>
        </w:rPr>
        <w:t>f</w:t>
      </w:r>
      <w:r w:rsidR="009F63D3" w:rsidRPr="00DE4C1C">
        <w:rPr>
          <w:color w:val="000000" w:themeColor="text1"/>
        </w:rPr>
        <w:t xml:space="preserve"> authoritative and comprehensive registry information on land ownership is available and can be routinely accessed at low cost by third </w:t>
      </w:r>
      <w:r w:rsidR="009F63D3" w:rsidRPr="00DE4C1C">
        <w:rPr>
          <w:color w:val="000000" w:themeColor="text1"/>
        </w:rPr>
        <w:lastRenderedPageBreak/>
        <w:t>parties such as banks and mortgage lenders.”</w:t>
      </w:r>
      <w:r w:rsidR="009F63D3">
        <w:rPr>
          <w:rStyle w:val="FootnoteReference"/>
          <w:color w:val="000000" w:themeColor="text1"/>
        </w:rPr>
        <w:footnoteReference w:id="32"/>
      </w:r>
      <w:r w:rsidR="009F63D3" w:rsidRPr="009F63D3">
        <w:rPr>
          <w:color w:val="000000" w:themeColor="text1"/>
        </w:rPr>
        <w:t xml:space="preserve"> </w:t>
      </w:r>
      <w:r w:rsidR="009F63D3">
        <w:rPr>
          <w:color w:val="000000" w:themeColor="text1"/>
        </w:rPr>
        <w:t>Keefer and Knack (2002) suggest that for economic actors</w:t>
      </w:r>
      <w:r w:rsidR="009F63D3" w:rsidRPr="00716BAD">
        <w:rPr>
          <w:color w:val="000000" w:themeColor="text1"/>
        </w:rPr>
        <w:t>, “the most important aspect of the policy environment is the reliability of a country’s guarantees of property and contract rights.”</w:t>
      </w:r>
      <w:r w:rsidR="009F63D3" w:rsidRPr="00716BAD">
        <w:rPr>
          <w:rStyle w:val="FootnoteReference"/>
          <w:color w:val="000000" w:themeColor="text1"/>
        </w:rPr>
        <w:footnoteReference w:id="33"/>
      </w:r>
      <w:r w:rsidR="009F63D3">
        <w:rPr>
          <w:color w:val="000000" w:themeColor="text1"/>
        </w:rPr>
        <w:t xml:space="preserve"> </w:t>
      </w:r>
    </w:p>
    <w:p w14:paraId="71864FC8" w14:textId="7EE03554" w:rsidR="009F63D3" w:rsidRPr="009F63D3" w:rsidRDefault="00DE4C1C" w:rsidP="009415F9">
      <w:pPr>
        <w:pStyle w:val="NormalWeb"/>
        <w:spacing w:line="360" w:lineRule="auto"/>
        <w:ind w:firstLine="720"/>
        <w:rPr>
          <w:i/>
          <w:color w:val="4472C4" w:themeColor="accent1"/>
        </w:rPr>
      </w:pPr>
      <w:r w:rsidRPr="00716BAD">
        <w:rPr>
          <w:color w:val="000000" w:themeColor="text1"/>
        </w:rPr>
        <w:t xml:space="preserve">Besley and </w:t>
      </w:r>
      <w:r w:rsidR="00E60F88">
        <w:rPr>
          <w:color w:val="000000" w:themeColor="text1"/>
        </w:rPr>
        <w:t>Ghatak</w:t>
      </w:r>
      <w:r w:rsidRPr="00716BAD">
        <w:rPr>
          <w:color w:val="000000" w:themeColor="text1"/>
        </w:rPr>
        <w:t xml:space="preserve"> (2009)</w:t>
      </w:r>
      <w:r>
        <w:rPr>
          <w:color w:val="000000" w:themeColor="text1"/>
        </w:rPr>
        <w:t xml:space="preserve"> find that </w:t>
      </w:r>
      <w:r w:rsidRPr="0098186C">
        <w:rPr>
          <w:color w:val="000000" w:themeColor="text1"/>
        </w:rPr>
        <w:t>“significant disparities remain across countries in the extent to which property can be registered and hence used as collateral</w:t>
      </w:r>
      <w:r>
        <w:rPr>
          <w:color w:val="000000" w:themeColor="text1"/>
        </w:rPr>
        <w:t>.</w:t>
      </w:r>
      <w:r w:rsidRPr="0098186C">
        <w:rPr>
          <w:color w:val="000000" w:themeColor="text1"/>
        </w:rPr>
        <w:t>”</w:t>
      </w:r>
      <w:r w:rsidRPr="0098186C">
        <w:rPr>
          <w:rStyle w:val="FootnoteReference"/>
          <w:color w:val="000000" w:themeColor="text1"/>
        </w:rPr>
        <w:footnoteReference w:id="34"/>
      </w:r>
      <w:r>
        <w:rPr>
          <w:color w:val="000000" w:themeColor="text1"/>
        </w:rPr>
        <w:t xml:space="preserve"> In these cases, </w:t>
      </w:r>
      <w:r w:rsidRPr="0098186C">
        <w:rPr>
          <w:color w:val="000000" w:themeColor="text1"/>
        </w:rPr>
        <w:t>“contract enforcement is limited due to imperfections in property rights protection which reduce the collateralizability of wealth.”</w:t>
      </w:r>
      <w:r w:rsidRPr="0098186C">
        <w:rPr>
          <w:rStyle w:val="FootnoteReference"/>
          <w:color w:val="000000" w:themeColor="text1"/>
        </w:rPr>
        <w:footnoteReference w:id="35"/>
      </w:r>
      <w:r>
        <w:rPr>
          <w:color w:val="000000" w:themeColor="text1"/>
        </w:rPr>
        <w:t xml:space="preserve"> This paper </w:t>
      </w:r>
      <w:r w:rsidR="008A0C05">
        <w:rPr>
          <w:color w:val="000000" w:themeColor="text1"/>
        </w:rPr>
        <w:t>seeks</w:t>
      </w:r>
      <w:r>
        <w:rPr>
          <w:color w:val="000000" w:themeColor="text1"/>
        </w:rPr>
        <w:t xml:space="preserve"> to advance the understanding of how </w:t>
      </w:r>
      <w:r w:rsidR="009F63D3">
        <w:rPr>
          <w:color w:val="000000" w:themeColor="text1"/>
        </w:rPr>
        <w:t xml:space="preserve">security provisions within property transactions </w:t>
      </w:r>
      <w:r>
        <w:rPr>
          <w:color w:val="000000" w:themeColor="text1"/>
        </w:rPr>
        <w:t>influence the ability of property to be registered and ultimately used as collateral to access credit.</w:t>
      </w:r>
      <w:r w:rsidR="009F63D3" w:rsidRPr="009F63D3">
        <w:rPr>
          <w:color w:val="000000" w:themeColor="text1"/>
        </w:rPr>
        <w:t xml:space="preserve"> </w:t>
      </w:r>
      <w:r w:rsidR="009F63D3" w:rsidRPr="00716BAD">
        <w:rPr>
          <w:color w:val="000000" w:themeColor="text1"/>
        </w:rPr>
        <w:t xml:space="preserve">Besley and </w:t>
      </w:r>
      <w:r w:rsidR="008A0C05">
        <w:rPr>
          <w:color w:val="000000" w:themeColor="text1"/>
        </w:rPr>
        <w:t>Ghatak</w:t>
      </w:r>
      <w:r w:rsidR="009F63D3" w:rsidRPr="00716BAD">
        <w:rPr>
          <w:color w:val="000000" w:themeColor="text1"/>
        </w:rPr>
        <w:t xml:space="preserve"> (2009) assert:</w:t>
      </w:r>
    </w:p>
    <w:p w14:paraId="48AF9B00" w14:textId="77777777" w:rsidR="009F63D3" w:rsidRDefault="009F63D3" w:rsidP="009415F9">
      <w:pPr>
        <w:pStyle w:val="NormalWeb"/>
        <w:spacing w:line="360" w:lineRule="auto"/>
        <w:ind w:left="720"/>
        <w:rPr>
          <w:i/>
          <w:color w:val="4472C4" w:themeColor="accent1"/>
        </w:rPr>
      </w:pPr>
      <w:r w:rsidRPr="00716BAD">
        <w:rPr>
          <w:i/>
          <w:color w:val="4472C4" w:themeColor="accent1"/>
        </w:rPr>
        <w:t xml:space="preserve"> “Supporting the creation of credit markets to foster investment is a key role of the state in promoting economic development. Policies aimed at extending and improving property rights so that assets can be pledged as collateral for loans are an important aspect of this.”</w:t>
      </w:r>
      <w:r w:rsidRPr="00716BAD">
        <w:rPr>
          <w:rStyle w:val="FootnoteReference"/>
          <w:color w:val="000000" w:themeColor="text1"/>
        </w:rPr>
        <w:footnoteReference w:id="36"/>
      </w:r>
    </w:p>
    <w:p w14:paraId="13DA25D8" w14:textId="181AABB9" w:rsidR="00260585" w:rsidRPr="009415F9" w:rsidRDefault="009F63D3" w:rsidP="009415F9">
      <w:pPr>
        <w:pStyle w:val="NormalWeb"/>
        <w:spacing w:line="360" w:lineRule="auto"/>
      </w:pPr>
      <w:r>
        <w:t>This</w:t>
      </w:r>
      <w:r w:rsidRPr="000D022C">
        <w:t xml:space="preserve"> paper </w:t>
      </w:r>
      <w:r w:rsidR="008A0C05">
        <w:t>aims</w:t>
      </w:r>
      <w:r w:rsidRPr="000D022C">
        <w:t xml:space="preserve"> to</w:t>
      </w:r>
      <w:r>
        <w:t xml:space="preserve"> better understand</w:t>
      </w:r>
      <w:r w:rsidRPr="000D022C">
        <w:t xml:space="preserve"> how to enhance security within property transactions</w:t>
      </w:r>
      <w:r>
        <w:t xml:space="preserve"> so that land may be recognized as a secure, economic asset and pledged as collateral. </w:t>
      </w:r>
      <w:r w:rsidR="009415F9">
        <w:t xml:space="preserve">By examining the dimensions of security within </w:t>
      </w:r>
      <w:r w:rsidR="009415F9" w:rsidRPr="00CF5912">
        <w:t>land administration institutions</w:t>
      </w:r>
      <w:r w:rsidR="009415F9">
        <w:t xml:space="preserve">, this paper </w:t>
      </w:r>
      <w:r w:rsidR="008A0C05">
        <w:t>hopes</w:t>
      </w:r>
      <w:r w:rsidR="009415F9">
        <w:t xml:space="preserve"> to identify which functions of land institutions provide security within property transactions, allowing for the collateral potential of land to be realized, thereby successfully facilitating credit market access. The following section outlines the research methodology employed to reach this aim. </w:t>
      </w:r>
    </w:p>
    <w:p w14:paraId="32EA96F4" w14:textId="77777777" w:rsidR="00684FD3" w:rsidRPr="009F63D3" w:rsidRDefault="00356694" w:rsidP="009415F9">
      <w:pPr>
        <w:pStyle w:val="Heading1"/>
        <w:spacing w:line="360" w:lineRule="auto"/>
        <w:rPr>
          <w:rFonts w:ascii="Rockwell" w:hAnsi="Rockwell"/>
          <w:sz w:val="28"/>
          <w:szCs w:val="28"/>
        </w:rPr>
      </w:pPr>
      <w:bookmarkStart w:id="6" w:name="_Toc78045075"/>
      <w:r w:rsidRPr="00DE7D65">
        <w:rPr>
          <w:rFonts w:ascii="Rockwell" w:hAnsi="Rockwell"/>
          <w:sz w:val="28"/>
          <w:szCs w:val="28"/>
        </w:rPr>
        <w:t>4</w:t>
      </w:r>
      <w:r w:rsidR="00D378D6" w:rsidRPr="00DE7D65">
        <w:rPr>
          <w:rFonts w:ascii="Rockwell" w:hAnsi="Rockwell"/>
          <w:sz w:val="28"/>
          <w:szCs w:val="28"/>
        </w:rPr>
        <w:t>. Methodology</w:t>
      </w:r>
      <w:bookmarkEnd w:id="6"/>
    </w:p>
    <w:p w14:paraId="6CADCD0E" w14:textId="77777777" w:rsidR="007E4E4D" w:rsidRPr="009415F9" w:rsidRDefault="00684FD3" w:rsidP="009415F9">
      <w:pPr>
        <w:pStyle w:val="Heading2"/>
        <w:spacing w:line="360" w:lineRule="auto"/>
        <w:rPr>
          <w:rFonts w:ascii="Rockwell" w:hAnsi="Rockwell" w:cs="Times New Roman"/>
        </w:rPr>
      </w:pPr>
      <w:bookmarkStart w:id="7" w:name="_Toc78045076"/>
      <w:r w:rsidRPr="00684FD3">
        <w:rPr>
          <w:rFonts w:ascii="Rockwell" w:hAnsi="Rockwell" w:cs="Times New Roman"/>
        </w:rPr>
        <w:t>4.1 Model</w:t>
      </w:r>
      <w:bookmarkEnd w:id="7"/>
    </w:p>
    <w:p w14:paraId="411C8077" w14:textId="320430C0" w:rsidR="00260585" w:rsidRDefault="009E04C8" w:rsidP="0088480B">
      <w:pPr>
        <w:spacing w:line="360" w:lineRule="auto"/>
        <w:ind w:firstLine="720"/>
      </w:pPr>
      <w:r>
        <w:t>This paper aims</w:t>
      </w:r>
      <w:r w:rsidR="00684FD3">
        <w:t xml:space="preserve"> to answer the following research question—</w:t>
      </w:r>
      <w:r w:rsidR="00684FD3" w:rsidRPr="000D022C">
        <w:t xml:space="preserve">what </w:t>
      </w:r>
      <w:r w:rsidR="00684FD3">
        <w:t>dimensions</w:t>
      </w:r>
      <w:r w:rsidR="00684FD3" w:rsidRPr="000D022C">
        <w:t xml:space="preserve"> of land institutions are most security-enhancing, allowing for property to be realized as capital, thereby facilitating access to the credit market?</w:t>
      </w:r>
      <w:r w:rsidR="00684FD3">
        <w:t xml:space="preserve"> To address this research question, this paper utilizes an </w:t>
      </w:r>
      <w:r w:rsidR="00684FD3">
        <w:lastRenderedPageBreak/>
        <w:t>econometric analysis, employing an ordinary least squares (OLS) regression on cross-sectional data. Specifically, testing for the influence of reliability, transparency, coverage, and dispute mechanisms within land institutions on facilitating credit access. The</w:t>
      </w:r>
      <w:r w:rsidR="00F23E4B">
        <w:t xml:space="preserve"> regression</w:t>
      </w:r>
      <w:r w:rsidR="00684FD3">
        <w:t xml:space="preserve"> model incorporates cross-sectional data across 6 indicators for 30 Latin American and Caribbean countries during the year 2019. </w:t>
      </w:r>
      <w:r w:rsidR="00D954C5">
        <w:t xml:space="preserve">Below, </w:t>
      </w:r>
      <w:r w:rsidR="00D954C5" w:rsidRPr="00D954C5">
        <w:rPr>
          <w:i/>
        </w:rPr>
        <w:t>Figure 1</w:t>
      </w:r>
      <w:r w:rsidR="00D954C5">
        <w:t xml:space="preserve"> depicts the regression model employed in this paper.</w:t>
      </w:r>
    </w:p>
    <w:p w14:paraId="4DF7B1F4" w14:textId="77777777" w:rsidR="0088480B" w:rsidRPr="008E661A" w:rsidRDefault="0088480B" w:rsidP="00F23E4B">
      <w:pPr>
        <w:spacing w:line="360" w:lineRule="auto"/>
      </w:pPr>
    </w:p>
    <w:p w14:paraId="7D7933C9" w14:textId="77777777" w:rsidR="00684FD3" w:rsidRPr="00DE7D65" w:rsidRDefault="00684FD3" w:rsidP="009415F9">
      <w:pPr>
        <w:pStyle w:val="Heading3"/>
        <w:spacing w:line="360" w:lineRule="auto"/>
        <w:rPr>
          <w:rFonts w:ascii="Times New Roman" w:hAnsi="Times New Roman" w:cs="Times New Roman"/>
          <w:i/>
          <w:color w:val="4472C4" w:themeColor="accent1"/>
        </w:rPr>
      </w:pPr>
      <w:bookmarkStart w:id="8" w:name="_Toc78045077"/>
      <w:r w:rsidRPr="00DE7D65">
        <w:rPr>
          <w:rFonts w:ascii="Times New Roman" w:hAnsi="Times New Roman" w:cs="Times New Roman"/>
          <w:i/>
          <w:color w:val="4472C4" w:themeColor="accent1"/>
        </w:rPr>
        <w:t>Figure 1. Regression Model</w:t>
      </w:r>
      <w:bookmarkEnd w:id="8"/>
    </w:p>
    <w:p w14:paraId="2DC4AF11" w14:textId="77777777" w:rsidR="00684FD3" w:rsidRPr="002B792E" w:rsidRDefault="00684FD3" w:rsidP="009415F9">
      <w:pPr>
        <w:shd w:val="clear" w:color="auto" w:fill="DEEAF6" w:themeFill="accent5" w:themeFillTint="33"/>
        <w:spacing w:line="360" w:lineRule="auto"/>
        <w:jc w:val="center"/>
        <w:rPr>
          <w:rStyle w:val="mord"/>
          <w:b/>
          <w:color w:val="0070C0"/>
          <w:vertAlign w:val="subscript"/>
        </w:rPr>
      </w:pPr>
      <w:r w:rsidRPr="002B792E">
        <w:rPr>
          <w:b/>
          <w:i/>
          <w:color w:val="0070C0"/>
        </w:rPr>
        <w:t>Public Credit Registry Coverage</w:t>
      </w:r>
      <w:r w:rsidRPr="002B792E">
        <w:rPr>
          <w:b/>
          <w:color w:val="0070C0"/>
        </w:rPr>
        <w:t xml:space="preserve"> = β</w:t>
      </w:r>
      <w:r w:rsidRPr="002B792E">
        <w:rPr>
          <w:b/>
          <w:color w:val="0070C0"/>
          <w:vertAlign w:val="subscript"/>
        </w:rPr>
        <w:t>o</w:t>
      </w:r>
      <w:r w:rsidRPr="002B792E">
        <w:rPr>
          <w:b/>
          <w:color w:val="0070C0"/>
        </w:rPr>
        <w:t xml:space="preserve"> + β</w:t>
      </w:r>
      <w:r w:rsidRPr="002B792E">
        <w:rPr>
          <w:b/>
          <w:color w:val="0070C0"/>
          <w:vertAlign w:val="subscript"/>
        </w:rPr>
        <w:t>1</w:t>
      </w:r>
      <w:r w:rsidRPr="002B792E">
        <w:rPr>
          <w:b/>
          <w:color w:val="0070C0"/>
        </w:rPr>
        <w:t>(</w:t>
      </w:r>
      <w:r w:rsidRPr="002B792E">
        <w:rPr>
          <w:b/>
          <w:i/>
          <w:color w:val="0070C0"/>
        </w:rPr>
        <w:t>Reliability of Infrastructure</w:t>
      </w:r>
      <w:r w:rsidRPr="002B792E">
        <w:rPr>
          <w:b/>
          <w:color w:val="0070C0"/>
        </w:rPr>
        <w:t>) + β</w:t>
      </w:r>
      <w:r w:rsidRPr="002B792E">
        <w:rPr>
          <w:b/>
          <w:color w:val="0070C0"/>
          <w:vertAlign w:val="subscript"/>
        </w:rPr>
        <w:t>2</w:t>
      </w:r>
      <w:r w:rsidRPr="002B792E">
        <w:rPr>
          <w:b/>
          <w:color w:val="0070C0"/>
        </w:rPr>
        <w:t xml:space="preserve"> (</w:t>
      </w:r>
      <w:r w:rsidRPr="002B792E">
        <w:rPr>
          <w:b/>
          <w:i/>
          <w:color w:val="0070C0"/>
        </w:rPr>
        <w:t>Transparency of Information</w:t>
      </w:r>
      <w:r w:rsidRPr="002B792E">
        <w:rPr>
          <w:b/>
          <w:color w:val="0070C0"/>
        </w:rPr>
        <w:t>) + β</w:t>
      </w:r>
      <w:r w:rsidRPr="002B792E">
        <w:rPr>
          <w:b/>
          <w:color w:val="0070C0"/>
          <w:vertAlign w:val="subscript"/>
        </w:rPr>
        <w:t>3</w:t>
      </w:r>
      <w:r w:rsidRPr="002B792E">
        <w:rPr>
          <w:b/>
          <w:color w:val="0070C0"/>
        </w:rPr>
        <w:t>(</w:t>
      </w:r>
      <w:r w:rsidRPr="002B792E">
        <w:rPr>
          <w:b/>
          <w:i/>
          <w:color w:val="0070C0"/>
        </w:rPr>
        <w:t>Geographic Coverage</w:t>
      </w:r>
      <w:r w:rsidRPr="002B792E">
        <w:rPr>
          <w:b/>
          <w:color w:val="0070C0"/>
        </w:rPr>
        <w:t>) + β</w:t>
      </w:r>
      <w:r w:rsidRPr="002B792E">
        <w:rPr>
          <w:b/>
          <w:color w:val="0070C0"/>
          <w:vertAlign w:val="subscript"/>
        </w:rPr>
        <w:t>4</w:t>
      </w:r>
      <w:r w:rsidRPr="002B792E">
        <w:rPr>
          <w:b/>
          <w:color w:val="0070C0"/>
        </w:rPr>
        <w:t>(</w:t>
      </w:r>
      <w:r w:rsidRPr="002B792E">
        <w:rPr>
          <w:b/>
          <w:i/>
          <w:color w:val="0070C0"/>
        </w:rPr>
        <w:t>Land Dispute Resolution</w:t>
      </w:r>
      <w:r w:rsidRPr="002B792E">
        <w:rPr>
          <w:b/>
          <w:color w:val="0070C0"/>
        </w:rPr>
        <w:t>) + β</w:t>
      </w:r>
      <w:r w:rsidRPr="002B792E">
        <w:rPr>
          <w:b/>
          <w:color w:val="0070C0"/>
          <w:vertAlign w:val="subscript"/>
        </w:rPr>
        <w:t>5</w:t>
      </w:r>
      <w:r w:rsidRPr="002B792E">
        <w:rPr>
          <w:b/>
          <w:color w:val="0070C0"/>
        </w:rPr>
        <w:t>(</w:t>
      </w:r>
      <w:r w:rsidRPr="002B792E">
        <w:rPr>
          <w:b/>
          <w:i/>
          <w:color w:val="0070C0"/>
        </w:rPr>
        <w:t>Population</w:t>
      </w:r>
      <w:r w:rsidRPr="002B792E">
        <w:rPr>
          <w:b/>
          <w:color w:val="0070C0"/>
        </w:rPr>
        <w:t>) + β</w:t>
      </w:r>
      <w:r w:rsidRPr="002B792E">
        <w:rPr>
          <w:b/>
          <w:color w:val="0070C0"/>
          <w:vertAlign w:val="subscript"/>
        </w:rPr>
        <w:t>6</w:t>
      </w:r>
      <w:r w:rsidRPr="002B792E">
        <w:rPr>
          <w:b/>
          <w:color w:val="0070C0"/>
        </w:rPr>
        <w:t>(</w:t>
      </w:r>
      <w:r w:rsidRPr="002B792E">
        <w:rPr>
          <w:b/>
          <w:i/>
          <w:color w:val="0070C0"/>
        </w:rPr>
        <w:t>Rural Population</w:t>
      </w:r>
      <w:r w:rsidRPr="002B792E">
        <w:rPr>
          <w:b/>
          <w:color w:val="0070C0"/>
        </w:rPr>
        <w:t>) +  u</w:t>
      </w:r>
      <w:r w:rsidRPr="002B792E">
        <w:rPr>
          <w:b/>
          <w:color w:val="0070C0"/>
          <w:vertAlign w:val="subscript"/>
        </w:rPr>
        <w:t>i</w:t>
      </w:r>
    </w:p>
    <w:p w14:paraId="6D7CDB31" w14:textId="6AC6280F" w:rsidR="007E4E4D" w:rsidRDefault="007E4E4D" w:rsidP="00260585">
      <w:pPr>
        <w:pStyle w:val="Heading3"/>
        <w:spacing w:line="480" w:lineRule="auto"/>
        <w:rPr>
          <w:rFonts w:ascii="Times New Roman" w:hAnsi="Times New Roman" w:cs="Times New Roman"/>
          <w:i/>
          <w:color w:val="4472C4" w:themeColor="accent1"/>
        </w:rPr>
      </w:pPr>
    </w:p>
    <w:p w14:paraId="69F1D398" w14:textId="65CC350E" w:rsidR="009415F9" w:rsidRDefault="00D954C5" w:rsidP="009415F9">
      <w:pPr>
        <w:spacing w:line="360" w:lineRule="auto"/>
        <w:ind w:firstLine="720"/>
      </w:pPr>
      <w:r>
        <w:t>For the regression model above</w:t>
      </w:r>
      <w:r w:rsidRPr="00D954C5">
        <w:t xml:space="preserve"> </w:t>
      </w:r>
      <w:r>
        <w:t xml:space="preserve">in </w:t>
      </w:r>
      <w:r w:rsidRPr="00D954C5">
        <w:rPr>
          <w:i/>
        </w:rPr>
        <w:t>Figure 1</w:t>
      </w:r>
      <w:r>
        <w:t xml:space="preserve">, the </w:t>
      </w:r>
      <w:r w:rsidR="007E4E4D">
        <w:t>dependent</w:t>
      </w:r>
      <w:r>
        <w:t xml:space="preserve"> variable is </w:t>
      </w:r>
      <w:r w:rsidRPr="00D954C5">
        <w:rPr>
          <w:i/>
        </w:rPr>
        <w:t>(Y) Public Credit Registry Coverage (% of adults)</w:t>
      </w:r>
      <w:r w:rsidRPr="00D954C5">
        <w:rPr>
          <w:b/>
        </w:rPr>
        <w:t xml:space="preserve"> </w:t>
      </w:r>
      <w:r w:rsidRPr="00D954C5">
        <w:t>and the six</w:t>
      </w:r>
      <w:r w:rsidRPr="00D954C5">
        <w:rPr>
          <w:b/>
        </w:rPr>
        <w:t xml:space="preserve"> </w:t>
      </w:r>
      <w:r w:rsidR="007E4E4D">
        <w:t>independent</w:t>
      </w:r>
      <w:r w:rsidRPr="00D954C5">
        <w:t xml:space="preserve"> variables are </w:t>
      </w:r>
      <w:r w:rsidRPr="00D954C5">
        <w:rPr>
          <w:i/>
        </w:rPr>
        <w:t xml:space="preserve">(X1) </w:t>
      </w:r>
      <w:r w:rsidRPr="007A7C47">
        <w:rPr>
          <w:i/>
        </w:rPr>
        <w:t>Reliability of Infrastructure Index</w:t>
      </w:r>
      <w:r w:rsidRPr="00D954C5">
        <w:rPr>
          <w:i/>
        </w:rPr>
        <w:t xml:space="preserve">, (X2) Transparency of Information Index, (X3) Geographic Coverage Index, (X4) Land Dispute Resolution Index, (X5) Population, </w:t>
      </w:r>
      <w:r w:rsidRPr="00D954C5">
        <w:t xml:space="preserve">and </w:t>
      </w:r>
      <w:r w:rsidRPr="00D954C5">
        <w:rPr>
          <w:i/>
        </w:rPr>
        <w:t xml:space="preserve">(X6) Rural population. </w:t>
      </w:r>
      <w:r w:rsidR="007E4E4D">
        <w:t>Whil</w:t>
      </w:r>
      <w:r w:rsidR="00F23E4B">
        <w:t xml:space="preserve">e </w:t>
      </w:r>
      <w:r w:rsidR="007E4E4D">
        <w:t xml:space="preserve">employing a cross-sectional OLS regression, </w:t>
      </w:r>
      <w:r w:rsidR="00F23E4B">
        <w:t xml:space="preserve">the </w:t>
      </w:r>
      <w:r w:rsidR="007E4E4D" w:rsidRPr="007E4E4D">
        <w:t>ca</w:t>
      </w:r>
      <w:r w:rsidRPr="007E4E4D">
        <w:t xml:space="preserve">lculation and estimation applications were conducted using </w:t>
      </w:r>
      <w:r w:rsidR="007E4E4D">
        <w:t xml:space="preserve">a combination of </w:t>
      </w:r>
      <w:r w:rsidRPr="007E4E4D">
        <w:t>OxMetrics econometric software and Minitab statistical software.</w:t>
      </w:r>
      <w:r w:rsidR="007E4E4D">
        <w:t xml:space="preserve"> This regression model is </w:t>
      </w:r>
      <w:r w:rsidR="00F23E4B">
        <w:t>testing for</w:t>
      </w:r>
      <w:r w:rsidR="007E4E4D">
        <w:t xml:space="preserve"> the </w:t>
      </w:r>
      <w:r w:rsidR="007E4E4D" w:rsidRPr="007E4E4D">
        <w:t xml:space="preserve">hypothesis depicted in </w:t>
      </w:r>
      <w:r w:rsidR="007E4E4D" w:rsidRPr="007E4E4D">
        <w:rPr>
          <w:i/>
        </w:rPr>
        <w:t>Figure 2</w:t>
      </w:r>
      <w:r w:rsidR="007E4E4D" w:rsidRPr="007E4E4D">
        <w:t xml:space="preserve"> below.</w:t>
      </w:r>
    </w:p>
    <w:p w14:paraId="7D4F6487" w14:textId="77777777" w:rsidR="00260585" w:rsidRPr="00684FD3" w:rsidRDefault="00260585" w:rsidP="009415F9">
      <w:pPr>
        <w:spacing w:line="360" w:lineRule="auto"/>
        <w:ind w:firstLine="720"/>
      </w:pPr>
    </w:p>
    <w:p w14:paraId="69D087FA" w14:textId="77777777" w:rsidR="00684FD3" w:rsidRPr="00DE7D65" w:rsidRDefault="00684FD3" w:rsidP="009415F9">
      <w:pPr>
        <w:pStyle w:val="Heading3"/>
        <w:spacing w:line="360" w:lineRule="auto"/>
        <w:rPr>
          <w:rStyle w:val="mord"/>
          <w:rFonts w:ascii="Times New Roman" w:hAnsi="Times New Roman" w:cs="Times New Roman"/>
          <w:i/>
          <w:color w:val="4472C4" w:themeColor="accent1"/>
        </w:rPr>
      </w:pPr>
      <w:bookmarkStart w:id="9" w:name="_Toc78045078"/>
      <w:r w:rsidRPr="00DE7D65">
        <w:rPr>
          <w:rFonts w:ascii="Times New Roman" w:hAnsi="Times New Roman" w:cs="Times New Roman"/>
          <w:i/>
          <w:color w:val="4472C4" w:themeColor="accent1"/>
        </w:rPr>
        <w:t>Figure 2. Hypothesis Test</w:t>
      </w:r>
      <w:bookmarkEnd w:id="9"/>
    </w:p>
    <w:p w14:paraId="7FFD6240" w14:textId="77777777" w:rsidR="00684FD3" w:rsidRPr="002B792E" w:rsidRDefault="00684FD3" w:rsidP="009415F9">
      <w:pPr>
        <w:shd w:val="clear" w:color="auto" w:fill="DEEAF6" w:themeFill="accent5" w:themeFillTint="33"/>
        <w:spacing w:line="360" w:lineRule="auto"/>
        <w:jc w:val="center"/>
        <w:rPr>
          <w:b/>
          <w:color w:val="0070C0"/>
        </w:rPr>
      </w:pPr>
      <w:r w:rsidRPr="002B792E">
        <w:rPr>
          <w:b/>
          <w:iCs/>
          <w:color w:val="0070C0"/>
        </w:rPr>
        <w:t>H</w:t>
      </w:r>
      <w:r w:rsidRPr="002B792E">
        <w:rPr>
          <w:b/>
          <w:color w:val="0070C0"/>
          <w:vertAlign w:val="subscript"/>
        </w:rPr>
        <w:t>0</w:t>
      </w:r>
      <w:r w:rsidRPr="002B792E">
        <w:rPr>
          <w:b/>
          <w:color w:val="0070C0"/>
        </w:rPr>
        <w:t> : </w:t>
      </w:r>
      <w:r w:rsidRPr="002B792E">
        <w:rPr>
          <w:b/>
          <w:iCs/>
          <w:color w:val="0070C0"/>
        </w:rPr>
        <w:t>β</w:t>
      </w:r>
      <w:r w:rsidRPr="002B792E">
        <w:rPr>
          <w:b/>
          <w:color w:val="0070C0"/>
          <w:vertAlign w:val="subscript"/>
        </w:rPr>
        <w:t>1</w:t>
      </w:r>
      <w:r w:rsidRPr="002B792E">
        <w:rPr>
          <w:b/>
          <w:color w:val="0070C0"/>
        </w:rPr>
        <w:t> = </w:t>
      </w:r>
      <w:r w:rsidRPr="002B792E">
        <w:rPr>
          <w:b/>
          <w:iCs/>
          <w:color w:val="0070C0"/>
        </w:rPr>
        <w:t>β</w:t>
      </w:r>
      <w:r w:rsidRPr="002B792E">
        <w:rPr>
          <w:b/>
          <w:color w:val="0070C0"/>
          <w:vertAlign w:val="subscript"/>
        </w:rPr>
        <w:t>2</w:t>
      </w:r>
      <w:r w:rsidRPr="002B792E">
        <w:rPr>
          <w:b/>
          <w:color w:val="0070C0"/>
        </w:rPr>
        <w:t> = </w:t>
      </w:r>
      <w:r w:rsidRPr="002B792E">
        <w:rPr>
          <w:b/>
          <w:iCs/>
          <w:color w:val="0070C0"/>
        </w:rPr>
        <w:t>β</w:t>
      </w:r>
      <w:r w:rsidRPr="002B792E">
        <w:rPr>
          <w:b/>
          <w:color w:val="0070C0"/>
          <w:vertAlign w:val="subscript"/>
        </w:rPr>
        <w:t>3</w:t>
      </w:r>
      <w:r w:rsidRPr="002B792E">
        <w:rPr>
          <w:b/>
          <w:color w:val="0070C0"/>
        </w:rPr>
        <w:t> =</w:t>
      </w:r>
      <w:r w:rsidRPr="002B792E">
        <w:rPr>
          <w:b/>
          <w:iCs/>
          <w:color w:val="0070C0"/>
        </w:rPr>
        <w:t xml:space="preserve"> β</w:t>
      </w:r>
      <w:r w:rsidRPr="002B792E">
        <w:rPr>
          <w:b/>
          <w:color w:val="0070C0"/>
          <w:vertAlign w:val="subscript"/>
        </w:rPr>
        <w:t>4</w:t>
      </w:r>
      <w:r w:rsidRPr="002B792E">
        <w:rPr>
          <w:b/>
          <w:color w:val="0070C0"/>
        </w:rPr>
        <w:t xml:space="preserve"> = </w:t>
      </w:r>
      <w:r w:rsidRPr="002B792E">
        <w:rPr>
          <w:b/>
          <w:iCs/>
          <w:color w:val="0070C0"/>
        </w:rPr>
        <w:t>β</w:t>
      </w:r>
      <w:r w:rsidRPr="002B792E">
        <w:rPr>
          <w:b/>
          <w:color w:val="0070C0"/>
          <w:vertAlign w:val="subscript"/>
        </w:rPr>
        <w:t>5</w:t>
      </w:r>
      <w:r w:rsidRPr="002B792E">
        <w:rPr>
          <w:b/>
          <w:color w:val="0070C0"/>
        </w:rPr>
        <w:t xml:space="preserve"> = </w:t>
      </w:r>
      <w:r w:rsidRPr="002B792E">
        <w:rPr>
          <w:b/>
          <w:iCs/>
          <w:color w:val="0070C0"/>
        </w:rPr>
        <w:t>β</w:t>
      </w:r>
      <w:r w:rsidRPr="002B792E">
        <w:rPr>
          <w:b/>
          <w:color w:val="0070C0"/>
          <w:vertAlign w:val="subscript"/>
        </w:rPr>
        <w:t>6</w:t>
      </w:r>
      <w:r w:rsidRPr="002B792E">
        <w:rPr>
          <w:b/>
          <w:color w:val="0070C0"/>
        </w:rPr>
        <w:t> =  0</w:t>
      </w:r>
    </w:p>
    <w:p w14:paraId="36AF28B0" w14:textId="77777777" w:rsidR="00684FD3" w:rsidRPr="002B792E" w:rsidRDefault="00684FD3" w:rsidP="009415F9">
      <w:pPr>
        <w:shd w:val="clear" w:color="auto" w:fill="DEEAF6" w:themeFill="accent5" w:themeFillTint="33"/>
        <w:spacing w:line="360" w:lineRule="auto"/>
        <w:jc w:val="center"/>
        <w:rPr>
          <w:b/>
          <w:color w:val="0070C0"/>
        </w:rPr>
      </w:pPr>
      <w:r w:rsidRPr="002B792E">
        <w:rPr>
          <w:b/>
          <w:iCs/>
          <w:color w:val="0070C0"/>
        </w:rPr>
        <w:t>H</w:t>
      </w:r>
      <w:r w:rsidRPr="002B792E">
        <w:rPr>
          <w:b/>
          <w:color w:val="0070C0"/>
          <w:vertAlign w:val="subscript"/>
        </w:rPr>
        <w:t>A</w:t>
      </w:r>
      <w:r w:rsidRPr="002B792E">
        <w:rPr>
          <w:b/>
          <w:color w:val="0070C0"/>
        </w:rPr>
        <w:t> : At least one </w:t>
      </w:r>
      <w:r w:rsidRPr="002B792E">
        <w:rPr>
          <w:b/>
          <w:iCs/>
          <w:color w:val="0070C0"/>
        </w:rPr>
        <w:t>β</w:t>
      </w:r>
      <w:r w:rsidRPr="002B792E">
        <w:rPr>
          <w:b/>
          <w:iCs/>
          <w:color w:val="0070C0"/>
          <w:vertAlign w:val="subscript"/>
        </w:rPr>
        <w:t>i</w:t>
      </w:r>
      <w:r w:rsidRPr="002B792E">
        <w:rPr>
          <w:b/>
          <w:color w:val="0070C0"/>
        </w:rPr>
        <w:t> ≠ 0 (for i = 1, 2, 3, 4, 5, 6)</w:t>
      </w:r>
    </w:p>
    <w:p w14:paraId="03279F19" w14:textId="220F4419" w:rsidR="0088480B" w:rsidRPr="0088480B" w:rsidRDefault="00684FD3" w:rsidP="0088480B">
      <w:pPr>
        <w:shd w:val="clear" w:color="auto" w:fill="DEEAF6" w:themeFill="accent5" w:themeFillTint="33"/>
        <w:spacing w:line="360" w:lineRule="auto"/>
        <w:jc w:val="center"/>
        <w:rPr>
          <w:b/>
          <w:color w:val="0070C0"/>
        </w:rPr>
      </w:pPr>
      <w:r w:rsidRPr="002B792E">
        <w:rPr>
          <w:b/>
          <w:color w:val="0070C0"/>
        </w:rPr>
        <w:t>α=0.0</w:t>
      </w:r>
      <w:r>
        <w:rPr>
          <w:b/>
          <w:color w:val="0070C0"/>
        </w:rPr>
        <w:t>5</w:t>
      </w:r>
    </w:p>
    <w:p w14:paraId="205D82F2" w14:textId="77777777" w:rsidR="0088480B" w:rsidRDefault="0088480B" w:rsidP="0088480B">
      <w:pPr>
        <w:spacing w:line="360" w:lineRule="auto"/>
        <w:ind w:firstLine="720"/>
        <w:rPr>
          <w:color w:val="000000" w:themeColor="text1"/>
        </w:rPr>
      </w:pPr>
    </w:p>
    <w:p w14:paraId="09DD4C61" w14:textId="75195C83" w:rsidR="007E4E4D" w:rsidRDefault="007E4E4D" w:rsidP="0007739F">
      <w:pPr>
        <w:spacing w:line="360" w:lineRule="auto"/>
        <w:ind w:firstLine="720"/>
      </w:pPr>
      <w:r w:rsidRPr="00724E65">
        <w:rPr>
          <w:color w:val="000000" w:themeColor="text1"/>
        </w:rPr>
        <w:t xml:space="preserve">The hypothesis testing of this paper is </w:t>
      </w:r>
      <w:r w:rsidR="00F23E4B">
        <w:rPr>
          <w:color w:val="000000" w:themeColor="text1"/>
        </w:rPr>
        <w:t xml:space="preserve">being </w:t>
      </w:r>
      <w:r w:rsidRPr="00724E65">
        <w:rPr>
          <w:color w:val="000000" w:themeColor="text1"/>
        </w:rPr>
        <w:t xml:space="preserve">conducted to determine if the regression model contains at least one </w:t>
      </w:r>
      <w:r w:rsidR="00FA24B2">
        <w:rPr>
          <w:color w:val="000000" w:themeColor="text1"/>
        </w:rPr>
        <w:t>indicator</w:t>
      </w:r>
      <w:r w:rsidRPr="00724E65">
        <w:rPr>
          <w:color w:val="000000" w:themeColor="text1"/>
        </w:rPr>
        <w:t xml:space="preserve"> useful in predicting </w:t>
      </w:r>
      <w:r>
        <w:rPr>
          <w:color w:val="000000" w:themeColor="text1"/>
        </w:rPr>
        <w:t>credit registry coverage</w:t>
      </w:r>
      <w:r w:rsidRPr="00724E65">
        <w:rPr>
          <w:color w:val="000000" w:themeColor="text1"/>
        </w:rPr>
        <w:t>, at the 5% significance level</w:t>
      </w:r>
      <w:r>
        <w:rPr>
          <w:color w:val="000000" w:themeColor="text1"/>
        </w:rPr>
        <w:t xml:space="preserve">. </w:t>
      </w:r>
      <w:r w:rsidRPr="00724E65">
        <w:rPr>
          <w:color w:val="000000" w:themeColor="text1"/>
        </w:rPr>
        <w:t>For the hypothesis test stated</w:t>
      </w:r>
      <w:r>
        <w:rPr>
          <w:color w:val="000000" w:themeColor="text1"/>
        </w:rPr>
        <w:t xml:space="preserve"> above</w:t>
      </w:r>
      <w:r w:rsidRPr="00724E65">
        <w:rPr>
          <w:color w:val="000000" w:themeColor="text1"/>
        </w:rPr>
        <w:t xml:space="preserve"> </w:t>
      </w:r>
      <w:r>
        <w:rPr>
          <w:color w:val="000000" w:themeColor="text1"/>
        </w:rPr>
        <w:t xml:space="preserve">in </w:t>
      </w:r>
      <w:r>
        <w:rPr>
          <w:i/>
          <w:color w:val="000000" w:themeColor="text1"/>
        </w:rPr>
        <w:t>Figure 2</w:t>
      </w:r>
      <w:r w:rsidRPr="00724E65">
        <w:rPr>
          <w:color w:val="000000" w:themeColor="text1"/>
        </w:rPr>
        <w:t>, the null hypothesis is testing that </w:t>
      </w:r>
      <w:r w:rsidRPr="00724E65">
        <w:rPr>
          <w:iCs/>
          <w:color w:val="000000" w:themeColor="text1"/>
        </w:rPr>
        <w:t>all</w:t>
      </w:r>
      <w:r w:rsidRPr="00724E65">
        <w:rPr>
          <w:color w:val="000000" w:themeColor="text1"/>
        </w:rPr>
        <w:t> </w:t>
      </w:r>
      <w:r>
        <w:rPr>
          <w:color w:val="000000" w:themeColor="text1"/>
        </w:rPr>
        <w:t>six</w:t>
      </w:r>
      <w:r w:rsidRPr="00724E65">
        <w:rPr>
          <w:color w:val="000000" w:themeColor="text1"/>
        </w:rPr>
        <w:t xml:space="preserve"> slope parameters are</w:t>
      </w:r>
      <w:r>
        <w:rPr>
          <w:color w:val="000000" w:themeColor="text1"/>
        </w:rPr>
        <w:t xml:space="preserve"> equal to</w:t>
      </w:r>
      <w:r w:rsidRPr="00724E65">
        <w:rPr>
          <w:color w:val="000000" w:themeColor="text1"/>
        </w:rPr>
        <w:t xml:space="preserve"> zero</w:t>
      </w:r>
      <w:r>
        <w:rPr>
          <w:color w:val="000000" w:themeColor="text1"/>
        </w:rPr>
        <w:t xml:space="preserve"> in the model</w:t>
      </w:r>
      <w:r w:rsidRPr="00724E65">
        <w:rPr>
          <w:color w:val="000000" w:themeColor="text1"/>
        </w:rPr>
        <w:t>. The alternative hypothesis is</w:t>
      </w:r>
      <w:r>
        <w:rPr>
          <w:color w:val="000000" w:themeColor="text1"/>
        </w:rPr>
        <w:t xml:space="preserve"> testing that at least one of the slope parameters is not equal to zero in the model. If the null hypothesis were to be rejected by the regression model, the implication would be that </w:t>
      </w:r>
      <w:r w:rsidRPr="00724E65">
        <w:rPr>
          <w:color w:val="000000" w:themeColor="text1"/>
        </w:rPr>
        <w:t xml:space="preserve">a linear statistical </w:t>
      </w:r>
      <w:r w:rsidRPr="00724E65">
        <w:rPr>
          <w:color w:val="000000" w:themeColor="text1"/>
        </w:rPr>
        <w:lastRenderedPageBreak/>
        <w:t xml:space="preserve">relationship exists between the response variable and at least one of the predictor variables. </w:t>
      </w:r>
      <w:r>
        <w:rPr>
          <w:color w:val="000000" w:themeColor="text1"/>
        </w:rPr>
        <w:t xml:space="preserve">As a result, it </w:t>
      </w:r>
      <w:r w:rsidR="00FA24B2">
        <w:rPr>
          <w:color w:val="000000" w:themeColor="text1"/>
        </w:rPr>
        <w:t>could</w:t>
      </w:r>
      <w:r>
        <w:rPr>
          <w:color w:val="000000" w:themeColor="text1"/>
        </w:rPr>
        <w:t xml:space="preserve"> </w:t>
      </w:r>
      <w:r w:rsidR="00FA24B2">
        <w:rPr>
          <w:color w:val="000000" w:themeColor="text1"/>
        </w:rPr>
        <w:t xml:space="preserve">then </w:t>
      </w:r>
      <w:r>
        <w:rPr>
          <w:color w:val="000000" w:themeColor="text1"/>
        </w:rPr>
        <w:t xml:space="preserve">be inferred from the regression model that one of the independent variables has a statistically significant impact on the dependent variable, </w:t>
      </w:r>
      <w:r w:rsidR="00FA24B2" w:rsidRPr="00D954C5">
        <w:rPr>
          <w:i/>
        </w:rPr>
        <w:t>Public Credit Registry Coverage</w:t>
      </w:r>
      <w:r>
        <w:rPr>
          <w:color w:val="000000" w:themeColor="text1"/>
        </w:rPr>
        <w:t xml:space="preserve">. </w:t>
      </w:r>
      <w:r>
        <w:t xml:space="preserve">The next section </w:t>
      </w:r>
      <w:r w:rsidR="008C43DF">
        <w:t xml:space="preserve">describes in detail the variables that are included in the regression model and the rationale for their inclusion. </w:t>
      </w:r>
    </w:p>
    <w:p w14:paraId="4537D66B" w14:textId="77777777" w:rsidR="0007739F" w:rsidRPr="00684FD3" w:rsidRDefault="0007739F" w:rsidP="0007739F">
      <w:pPr>
        <w:spacing w:line="360" w:lineRule="auto"/>
        <w:ind w:firstLine="720"/>
      </w:pPr>
    </w:p>
    <w:p w14:paraId="09C7DBDD" w14:textId="77777777" w:rsidR="004B2E19" w:rsidRPr="009415F9" w:rsidRDefault="00684FD3" w:rsidP="009415F9">
      <w:pPr>
        <w:pStyle w:val="Heading2"/>
        <w:spacing w:line="360" w:lineRule="auto"/>
        <w:rPr>
          <w:rFonts w:ascii="Rockwell" w:hAnsi="Rockwell"/>
        </w:rPr>
      </w:pPr>
      <w:bookmarkStart w:id="10" w:name="_Toc78045079"/>
      <w:r w:rsidRPr="00324B94">
        <w:rPr>
          <w:rFonts w:ascii="Rockwell" w:hAnsi="Rockwell"/>
        </w:rPr>
        <w:t xml:space="preserve">4.2 </w:t>
      </w:r>
      <w:r w:rsidR="004B2E19">
        <w:rPr>
          <w:rFonts w:ascii="Rockwell" w:hAnsi="Rockwell"/>
        </w:rPr>
        <w:t>Source</w:t>
      </w:r>
      <w:r w:rsidR="005E43F5">
        <w:rPr>
          <w:rFonts w:ascii="Rockwell" w:hAnsi="Rockwell"/>
        </w:rPr>
        <w:t xml:space="preserve"> </w:t>
      </w:r>
      <w:r w:rsidR="004B2E19">
        <w:rPr>
          <w:rFonts w:ascii="Rockwell" w:hAnsi="Rockwell"/>
        </w:rPr>
        <w:t xml:space="preserve">of </w:t>
      </w:r>
      <w:r w:rsidRPr="00324B94">
        <w:rPr>
          <w:rFonts w:ascii="Rockwell" w:hAnsi="Rockwell"/>
        </w:rPr>
        <w:t>Data</w:t>
      </w:r>
      <w:bookmarkEnd w:id="10"/>
    </w:p>
    <w:p w14:paraId="534A70B8" w14:textId="0C42DC53" w:rsidR="00F953EC" w:rsidRDefault="004B2E19" w:rsidP="009415F9">
      <w:pPr>
        <w:spacing w:line="360" w:lineRule="auto"/>
        <w:ind w:firstLine="720"/>
      </w:pPr>
      <w:r>
        <w:t xml:space="preserve">To run a regression model, this paper relies on the use of secondary data. The majority of data that is incorporated in the regression model is derived from the World Bank’s </w:t>
      </w:r>
      <w:r>
        <w:rPr>
          <w:i/>
        </w:rPr>
        <w:t xml:space="preserve">Doing Business </w:t>
      </w:r>
      <w:r>
        <w:t xml:space="preserve">report. The </w:t>
      </w:r>
      <w:r w:rsidR="009A3CD1" w:rsidRPr="00E34EC3">
        <w:rPr>
          <w:i/>
        </w:rPr>
        <w:t>Doing Business</w:t>
      </w:r>
      <w:r w:rsidR="009A3CD1" w:rsidRPr="00E34EC3">
        <w:t xml:space="preserve"> project</w:t>
      </w:r>
      <w:r w:rsidR="009A3CD1" w:rsidRPr="00E34EC3">
        <w:rPr>
          <w:b/>
        </w:rPr>
        <w:t xml:space="preserve"> </w:t>
      </w:r>
      <w:r w:rsidR="009A3CD1" w:rsidRPr="00E34EC3">
        <w:t>focuses on the challenges to starting a business in a country-specific context.</w:t>
      </w:r>
      <w:r w:rsidR="00E2474B">
        <w:rPr>
          <w:rStyle w:val="FootnoteReference"/>
        </w:rPr>
        <w:footnoteReference w:id="37"/>
      </w:r>
      <w:r w:rsidR="009A3CD1" w:rsidRPr="00E34EC3">
        <w:t xml:space="preserve"> For this research, the focus is not necessarily business activity in particular. However, this report offers information regarding the effectiveness of legal and financial institutions in facilitating financial transactions. </w:t>
      </w:r>
      <w:r>
        <w:t>I</w:t>
      </w:r>
      <w:r w:rsidRPr="00E34EC3">
        <w:t>n particular, the report offers quantitative indictors on property rights and property institutions within a specific country context</w:t>
      </w:r>
      <w:r>
        <w:t>.</w:t>
      </w:r>
      <w:r w:rsidR="00A47A02">
        <w:t xml:space="preserve"> </w:t>
      </w:r>
      <w:r w:rsidR="009A3CD1" w:rsidRPr="00E34EC3">
        <w:t xml:space="preserve">In the </w:t>
      </w:r>
      <w:r w:rsidR="009A3CD1" w:rsidRPr="00E34EC3">
        <w:rPr>
          <w:i/>
        </w:rPr>
        <w:t xml:space="preserve">Doing Business </w:t>
      </w:r>
      <w:r w:rsidR="009A3CD1" w:rsidRPr="00E34EC3">
        <w:t xml:space="preserve">report, </w:t>
      </w:r>
      <w:r w:rsidR="00DF2B13">
        <w:t>property-related indicators are used to measure the quality of the institutions that collectively form a country’s land administration system</w:t>
      </w:r>
      <w:r w:rsidR="00B21D59">
        <w:t>.</w:t>
      </w:r>
      <w:r w:rsidRPr="00FA24B2">
        <w:rPr>
          <w:rStyle w:val="FootnoteReference"/>
        </w:rPr>
        <w:footnoteReference w:id="38"/>
      </w:r>
      <w:r w:rsidR="00B21D59" w:rsidRPr="00FA24B2">
        <w:t xml:space="preserve"> </w:t>
      </w:r>
    </w:p>
    <w:p w14:paraId="69D32EF7" w14:textId="77777777" w:rsidR="00260585" w:rsidRDefault="00260585" w:rsidP="009415F9">
      <w:pPr>
        <w:spacing w:line="360" w:lineRule="auto"/>
        <w:ind w:firstLine="720"/>
      </w:pPr>
    </w:p>
    <w:p w14:paraId="6458DC6D" w14:textId="68FF149C" w:rsidR="00FA24B2" w:rsidRDefault="00DF2B13" w:rsidP="00EB5648">
      <w:pPr>
        <w:spacing w:line="360" w:lineRule="auto"/>
        <w:ind w:firstLine="360"/>
      </w:pPr>
      <w:r>
        <w:t xml:space="preserve">The term land administration was coined by </w:t>
      </w:r>
      <w:r w:rsidRPr="00DF2B13">
        <w:t>the United Nations Economic Commission for Europe (UNECE)</w:t>
      </w:r>
      <w:r>
        <w:t xml:space="preserve"> in 1993.</w:t>
      </w:r>
      <w:r>
        <w:rPr>
          <w:rStyle w:val="FootnoteReference"/>
        </w:rPr>
        <w:footnoteReference w:id="39"/>
      </w:r>
      <w:r>
        <w:t xml:space="preserve"> </w:t>
      </w:r>
      <w:r w:rsidR="00B21D59">
        <w:t xml:space="preserve">The </w:t>
      </w:r>
      <w:r>
        <w:t xml:space="preserve">UNECE has cited the influence of Hernando de Soto and his </w:t>
      </w:r>
      <w:r w:rsidR="00B21D59">
        <w:t xml:space="preserve">books as </w:t>
      </w:r>
      <w:r w:rsidR="00FA24B2">
        <w:t>the</w:t>
      </w:r>
      <w:r w:rsidR="00F953EC">
        <w:t xml:space="preserve"> </w:t>
      </w:r>
      <w:r w:rsidR="00FA24B2">
        <w:t xml:space="preserve">primary </w:t>
      </w:r>
      <w:r w:rsidR="00F953EC">
        <w:t>motivation</w:t>
      </w:r>
      <w:r w:rsidR="00B21D59">
        <w:t xml:space="preserve"> </w:t>
      </w:r>
      <w:r w:rsidR="00F953EC">
        <w:t>for</w:t>
      </w:r>
      <w:r w:rsidR="00B21D59">
        <w:t xml:space="preserve"> </w:t>
      </w:r>
      <w:r w:rsidR="00F953EC">
        <w:t>prioritizing</w:t>
      </w:r>
      <w:r w:rsidR="00B21D59">
        <w:t xml:space="preserve"> a country’s land administration and its evaluation. In this paper, the term land administration is used to refer to “</w:t>
      </w:r>
      <w:r w:rsidR="00B21D59" w:rsidRPr="00B21D59">
        <w:t>all the infrastructure necessary for the implementation of processes such as: institutional arrangements, legal frameworks, land information systems, standards, and the management and dissemination of systems and technologies necessary for implementing these processes</w:t>
      </w:r>
      <w:r w:rsidR="00B21D59">
        <w:t>” within a country.</w:t>
      </w:r>
      <w:r w:rsidR="00B21D59">
        <w:rPr>
          <w:rStyle w:val="FootnoteReference"/>
        </w:rPr>
        <w:footnoteReference w:id="40"/>
      </w:r>
      <w:r w:rsidR="00B21D59">
        <w:t xml:space="preserve"> </w:t>
      </w:r>
    </w:p>
    <w:p w14:paraId="35713299" w14:textId="585EA126" w:rsidR="001923AC" w:rsidRDefault="00F953EC" w:rsidP="009415F9">
      <w:pPr>
        <w:spacing w:line="360" w:lineRule="auto"/>
        <w:ind w:firstLine="360"/>
        <w:rPr>
          <w:color w:val="000000" w:themeColor="text1"/>
          <w:shd w:val="clear" w:color="auto" w:fill="FFFFFF"/>
        </w:rPr>
      </w:pPr>
      <w:r>
        <w:lastRenderedPageBreak/>
        <w:t>T</w:t>
      </w:r>
      <w:r w:rsidR="00C57614">
        <w:t>he</w:t>
      </w:r>
      <w:r w:rsidR="009A3CD1" w:rsidRPr="00E34EC3">
        <w:t xml:space="preserve"> </w:t>
      </w:r>
      <w:r>
        <w:t xml:space="preserve">World Bank </w:t>
      </w:r>
      <w:r>
        <w:rPr>
          <w:i/>
        </w:rPr>
        <w:t xml:space="preserve">Doing Business </w:t>
      </w:r>
      <w:r w:rsidR="009A3CD1" w:rsidRPr="00E34EC3">
        <w:t xml:space="preserve">indicators </w:t>
      </w:r>
      <w:r>
        <w:t>pertaining to</w:t>
      </w:r>
      <w:r w:rsidR="00C57614">
        <w:t xml:space="preserve"> </w:t>
      </w:r>
      <w:r>
        <w:t>a country’s</w:t>
      </w:r>
      <w:r w:rsidR="00C57614">
        <w:t xml:space="preserve"> land administration </w:t>
      </w:r>
      <w:r w:rsidR="009A3CD1" w:rsidRPr="00E34EC3">
        <w:t xml:space="preserve">will be used to </w:t>
      </w:r>
      <w:r w:rsidR="00C57614">
        <w:t xml:space="preserve">assess the quality of land-related </w:t>
      </w:r>
      <w:r w:rsidR="00C57614" w:rsidRPr="00411A6B">
        <w:rPr>
          <w:color w:val="000000" w:themeColor="text1"/>
        </w:rPr>
        <w:t>institutions</w:t>
      </w:r>
      <w:r>
        <w:rPr>
          <w:color w:val="000000" w:themeColor="text1"/>
        </w:rPr>
        <w:t xml:space="preserve"> in </w:t>
      </w:r>
      <w:r w:rsidR="00FA24B2">
        <w:rPr>
          <w:color w:val="000000" w:themeColor="text1"/>
        </w:rPr>
        <w:t>LAC</w:t>
      </w:r>
      <w:r>
        <w:rPr>
          <w:color w:val="000000" w:themeColor="text1"/>
        </w:rPr>
        <w:t xml:space="preserve"> countries. </w:t>
      </w:r>
      <w:r w:rsidR="001923AC" w:rsidRPr="00411A6B">
        <w:rPr>
          <w:color w:val="000000" w:themeColor="text1"/>
        </w:rPr>
        <w:t xml:space="preserve">The methodology for the World Bank’s </w:t>
      </w:r>
      <w:r w:rsidR="001923AC" w:rsidRPr="00411A6B">
        <w:rPr>
          <w:i/>
          <w:color w:val="000000" w:themeColor="text1"/>
        </w:rPr>
        <w:t xml:space="preserve">Doing Business </w:t>
      </w:r>
      <w:r w:rsidR="001923AC" w:rsidRPr="00411A6B">
        <w:rPr>
          <w:color w:val="000000" w:themeColor="text1"/>
        </w:rPr>
        <w:t>report</w:t>
      </w:r>
      <w:r w:rsidR="001923AC" w:rsidRPr="00411A6B">
        <w:rPr>
          <w:i/>
          <w:color w:val="000000" w:themeColor="text1"/>
        </w:rPr>
        <w:t xml:space="preserve"> </w:t>
      </w:r>
      <w:r w:rsidR="001923AC" w:rsidRPr="00411A6B">
        <w:rPr>
          <w:color w:val="000000" w:themeColor="text1"/>
        </w:rPr>
        <w:t xml:space="preserve">relies on contributions from </w:t>
      </w:r>
      <w:r w:rsidR="001923AC">
        <w:rPr>
          <w:color w:val="000000" w:themeColor="text1"/>
        </w:rPr>
        <w:t xml:space="preserve">experts in </w:t>
      </w:r>
      <w:r w:rsidR="00FA24B2">
        <w:rPr>
          <w:color w:val="000000" w:themeColor="text1"/>
        </w:rPr>
        <w:t xml:space="preserve">both the </w:t>
      </w:r>
      <w:r w:rsidR="001923AC">
        <w:rPr>
          <w:color w:val="000000" w:themeColor="text1"/>
        </w:rPr>
        <w:t xml:space="preserve">private </w:t>
      </w:r>
      <w:r w:rsidR="00FA24B2">
        <w:rPr>
          <w:color w:val="000000" w:themeColor="text1"/>
        </w:rPr>
        <w:t>and</w:t>
      </w:r>
      <w:r w:rsidR="001923AC">
        <w:rPr>
          <w:color w:val="000000" w:themeColor="text1"/>
        </w:rPr>
        <w:t xml:space="preserve"> public sector. </w:t>
      </w:r>
      <w:r w:rsidR="001923AC">
        <w:rPr>
          <w:color w:val="000000" w:themeColor="text1"/>
          <w:shd w:val="clear" w:color="auto" w:fill="FFFFFF"/>
        </w:rPr>
        <w:t xml:space="preserve">This information is obtained through a questionnaire format. There is a questionnaire for each of the 11 indicator sets that are produced in the </w:t>
      </w:r>
      <w:r w:rsidR="001923AC">
        <w:rPr>
          <w:i/>
          <w:color w:val="000000" w:themeColor="text1"/>
          <w:shd w:val="clear" w:color="auto" w:fill="FFFFFF"/>
        </w:rPr>
        <w:t>Doing Business</w:t>
      </w:r>
      <w:r w:rsidR="001923AC">
        <w:rPr>
          <w:color w:val="000000" w:themeColor="text1"/>
          <w:shd w:val="clear" w:color="auto" w:fill="FFFFFF"/>
        </w:rPr>
        <w:t xml:space="preserve"> report. For the indicator pertaining to the registration of property, l</w:t>
      </w:r>
      <w:r w:rsidR="001923AC" w:rsidRPr="00411A6B">
        <w:rPr>
          <w:color w:val="000000" w:themeColor="text1"/>
          <w:shd w:val="clear" w:color="auto" w:fill="FFFFFF"/>
        </w:rPr>
        <w:t xml:space="preserve">ocal property lawyers, notaries and property registries </w:t>
      </w:r>
      <w:r w:rsidR="00CC42D9">
        <w:rPr>
          <w:color w:val="000000" w:themeColor="text1"/>
          <w:shd w:val="clear" w:color="auto" w:fill="FFFFFF"/>
        </w:rPr>
        <w:t>provide the World Bank</w:t>
      </w:r>
      <w:r w:rsidR="001923AC">
        <w:rPr>
          <w:color w:val="000000" w:themeColor="text1"/>
          <w:shd w:val="clear" w:color="auto" w:fill="FFFFFF"/>
        </w:rPr>
        <w:t xml:space="preserve"> primary sources of information regarding the procedures, costs, and time that is associated with registering property in their country</w:t>
      </w:r>
      <w:r w:rsidR="001923AC" w:rsidRPr="00411A6B">
        <w:rPr>
          <w:color w:val="000000" w:themeColor="text1"/>
          <w:shd w:val="clear" w:color="auto" w:fill="FFFFFF"/>
        </w:rPr>
        <w:t>.</w:t>
      </w:r>
      <w:r w:rsidR="001923AC" w:rsidRPr="00411A6B">
        <w:rPr>
          <w:rStyle w:val="FootnoteReference"/>
          <w:color w:val="000000" w:themeColor="text1"/>
          <w:shd w:val="clear" w:color="auto" w:fill="FFFFFF"/>
        </w:rPr>
        <w:footnoteReference w:id="41"/>
      </w:r>
      <w:r w:rsidR="001923AC">
        <w:rPr>
          <w:color w:val="000000" w:themeColor="text1"/>
          <w:shd w:val="clear" w:color="auto" w:fill="FFFFFF"/>
        </w:rPr>
        <w:t xml:space="preserve"> </w:t>
      </w:r>
    </w:p>
    <w:p w14:paraId="52AEF47E" w14:textId="77777777" w:rsidR="00260585" w:rsidRDefault="00260585" w:rsidP="009415F9">
      <w:pPr>
        <w:spacing w:line="360" w:lineRule="auto"/>
        <w:ind w:firstLine="360"/>
        <w:rPr>
          <w:color w:val="000000" w:themeColor="text1"/>
        </w:rPr>
      </w:pPr>
    </w:p>
    <w:p w14:paraId="70EA9DCA" w14:textId="1CC68ACD" w:rsidR="0007739F" w:rsidRDefault="00F953EC" w:rsidP="003A3FF2">
      <w:pPr>
        <w:spacing w:line="360" w:lineRule="auto"/>
        <w:ind w:firstLine="360"/>
        <w:rPr>
          <w:color w:val="000000" w:themeColor="text1"/>
          <w:shd w:val="clear" w:color="auto" w:fill="FFFFFF"/>
        </w:rPr>
      </w:pPr>
      <w:r w:rsidRPr="00E34EC3">
        <w:rPr>
          <w:color w:val="000000" w:themeColor="text1"/>
        </w:rPr>
        <w:t xml:space="preserve">According to the findings of the latest </w:t>
      </w:r>
      <w:r w:rsidRPr="00E34EC3">
        <w:rPr>
          <w:i/>
          <w:color w:val="000000" w:themeColor="text1"/>
        </w:rPr>
        <w:t>Doing Business</w:t>
      </w:r>
      <w:r w:rsidRPr="00E34EC3">
        <w:rPr>
          <w:color w:val="000000" w:themeColor="text1"/>
        </w:rPr>
        <w:t xml:space="preserve"> report, not one of the 33 </w:t>
      </w:r>
      <w:r w:rsidR="00CC42D9">
        <w:rPr>
          <w:color w:val="000000" w:themeColor="text1"/>
        </w:rPr>
        <w:t>LAC</w:t>
      </w:r>
      <w:r>
        <w:rPr>
          <w:color w:val="000000" w:themeColor="text1"/>
        </w:rPr>
        <w:t xml:space="preserve"> </w:t>
      </w:r>
      <w:r w:rsidRPr="00E34EC3">
        <w:rPr>
          <w:color w:val="000000" w:themeColor="text1"/>
        </w:rPr>
        <w:t xml:space="preserve">economies </w:t>
      </w:r>
      <w:r>
        <w:rPr>
          <w:color w:val="000000" w:themeColor="text1"/>
        </w:rPr>
        <w:t>rank</w:t>
      </w:r>
      <w:r w:rsidR="009E04C8">
        <w:rPr>
          <w:color w:val="000000" w:themeColor="text1"/>
        </w:rPr>
        <w:t>s</w:t>
      </w:r>
      <w:r>
        <w:rPr>
          <w:color w:val="000000" w:themeColor="text1"/>
        </w:rPr>
        <w:t xml:space="preserve"> in</w:t>
      </w:r>
      <w:r w:rsidRPr="00E34EC3">
        <w:rPr>
          <w:color w:val="000000" w:themeColor="text1"/>
        </w:rPr>
        <w:t xml:space="preserve"> the top 50 global ranking</w:t>
      </w:r>
      <w:r w:rsidR="009E04C8">
        <w:rPr>
          <w:color w:val="000000" w:themeColor="text1"/>
        </w:rPr>
        <w:t>s</w:t>
      </w:r>
      <w:r w:rsidRPr="00E34EC3">
        <w:rPr>
          <w:color w:val="000000" w:themeColor="text1"/>
        </w:rPr>
        <w:t xml:space="preserve"> for the ease of doing business.</w:t>
      </w:r>
      <w:r w:rsidRPr="00E34EC3">
        <w:rPr>
          <w:rStyle w:val="FootnoteReference"/>
          <w:color w:val="000000" w:themeColor="text1"/>
        </w:rPr>
        <w:footnoteReference w:id="42"/>
      </w:r>
      <w:r w:rsidRPr="00E34EC3">
        <w:rPr>
          <w:color w:val="000000" w:themeColor="text1"/>
        </w:rPr>
        <w:t xml:space="preserve"> </w:t>
      </w:r>
      <w:r>
        <w:rPr>
          <w:color w:val="000000" w:themeColor="text1"/>
        </w:rPr>
        <w:t xml:space="preserve">As a result, the specific regional context is of relevance for assessing land and property institutions. The </w:t>
      </w:r>
      <w:r w:rsidR="00CC42D9">
        <w:rPr>
          <w:color w:val="000000" w:themeColor="text1"/>
        </w:rPr>
        <w:t>LAC</w:t>
      </w:r>
      <w:r>
        <w:rPr>
          <w:color w:val="000000" w:themeColor="text1"/>
        </w:rPr>
        <w:t xml:space="preserve"> region is comprised of 33 countries</w:t>
      </w:r>
      <w:r w:rsidR="00CC42D9">
        <w:rPr>
          <w:color w:val="000000" w:themeColor="text1"/>
        </w:rPr>
        <w:t>—</w:t>
      </w:r>
      <w:r>
        <w:rPr>
          <w:color w:val="000000" w:themeColor="text1"/>
        </w:rPr>
        <w:t xml:space="preserve"> 20 within Latin America and 13 </w:t>
      </w:r>
      <w:r w:rsidR="00CC42D9">
        <w:rPr>
          <w:color w:val="000000" w:themeColor="text1"/>
        </w:rPr>
        <w:t>within</w:t>
      </w:r>
      <w:r>
        <w:rPr>
          <w:color w:val="000000" w:themeColor="text1"/>
        </w:rPr>
        <w:t xml:space="preserve"> the Caribbean.</w:t>
      </w:r>
      <w:r>
        <w:rPr>
          <w:rStyle w:val="FootnoteReference"/>
          <w:color w:val="000000" w:themeColor="text1"/>
        </w:rPr>
        <w:footnoteReference w:id="43"/>
      </w:r>
      <w:r>
        <w:rPr>
          <w:color w:val="000000" w:themeColor="text1"/>
        </w:rPr>
        <w:t xml:space="preserve"> This paper </w:t>
      </w:r>
      <w:r w:rsidR="00CC42D9">
        <w:rPr>
          <w:color w:val="000000" w:themeColor="text1"/>
        </w:rPr>
        <w:t>initially aimed</w:t>
      </w:r>
      <w:r>
        <w:rPr>
          <w:color w:val="000000" w:themeColor="text1"/>
        </w:rPr>
        <w:t xml:space="preserve"> to run a regression model </w:t>
      </w:r>
      <w:r w:rsidR="00CC42D9">
        <w:rPr>
          <w:color w:val="000000" w:themeColor="text1"/>
        </w:rPr>
        <w:t>that included</w:t>
      </w:r>
      <w:r>
        <w:rPr>
          <w:color w:val="000000" w:themeColor="text1"/>
        </w:rPr>
        <w:t xml:space="preserve"> a complete sample of all countries (n=33) within the</w:t>
      </w:r>
      <w:r w:rsidR="00CC42D9">
        <w:rPr>
          <w:color w:val="000000" w:themeColor="text1"/>
        </w:rPr>
        <w:t xml:space="preserve"> LAC</w:t>
      </w:r>
      <w:r>
        <w:rPr>
          <w:color w:val="000000" w:themeColor="text1"/>
        </w:rPr>
        <w:t xml:space="preserve"> region. However, the final sample size was reduced to 30 due to missing data for the Bahamas, Cuba, and Venezuela. The data for each of the countries included in the model was derived from the historical datasets of the World Bank </w:t>
      </w:r>
      <w:r>
        <w:rPr>
          <w:i/>
          <w:color w:val="000000" w:themeColor="text1"/>
        </w:rPr>
        <w:t xml:space="preserve">Doing Business </w:t>
      </w:r>
      <w:r>
        <w:rPr>
          <w:color w:val="000000" w:themeColor="text1"/>
        </w:rPr>
        <w:t>report.</w:t>
      </w:r>
      <w:r>
        <w:rPr>
          <w:rStyle w:val="FootnoteReference"/>
          <w:color w:val="000000" w:themeColor="text1"/>
        </w:rPr>
        <w:footnoteReference w:id="44"/>
      </w:r>
      <w:r>
        <w:rPr>
          <w:color w:val="000000" w:themeColor="text1"/>
        </w:rPr>
        <w:t xml:space="preserve"> For each variable, data was collected for the most recent year—2019. </w:t>
      </w:r>
      <w:r w:rsidR="001923AC">
        <w:rPr>
          <w:color w:val="000000" w:themeColor="text1"/>
          <w:shd w:val="clear" w:color="auto" w:fill="FFFFFF"/>
        </w:rPr>
        <w:t>The following section outlines each of the variables individually.</w:t>
      </w:r>
    </w:p>
    <w:p w14:paraId="07C7A40E" w14:textId="77777777" w:rsidR="00EB5648" w:rsidRPr="003A3FF2" w:rsidRDefault="00EB5648" w:rsidP="003A3FF2">
      <w:pPr>
        <w:spacing w:line="360" w:lineRule="auto"/>
        <w:ind w:firstLine="360"/>
        <w:rPr>
          <w:color w:val="000000" w:themeColor="text1"/>
        </w:rPr>
      </w:pPr>
    </w:p>
    <w:p w14:paraId="167F2221" w14:textId="77777777" w:rsidR="00260585" w:rsidRPr="00260585" w:rsidRDefault="003463CE" w:rsidP="00260585">
      <w:pPr>
        <w:pStyle w:val="Heading2"/>
        <w:spacing w:line="360" w:lineRule="auto"/>
        <w:rPr>
          <w:rFonts w:ascii="Rockwell" w:hAnsi="Rockwell"/>
        </w:rPr>
      </w:pPr>
      <w:bookmarkStart w:id="11" w:name="_Toc78045080"/>
      <w:r w:rsidRPr="00324B94">
        <w:rPr>
          <w:rFonts w:ascii="Rockwell" w:hAnsi="Rockwell"/>
        </w:rPr>
        <w:t>4.</w:t>
      </w:r>
      <w:r w:rsidR="00684FD3" w:rsidRPr="00324B94">
        <w:rPr>
          <w:rFonts w:ascii="Rockwell" w:hAnsi="Rockwell"/>
        </w:rPr>
        <w:t>3</w:t>
      </w:r>
      <w:r w:rsidRPr="00324B94">
        <w:rPr>
          <w:rFonts w:ascii="Rockwell" w:hAnsi="Rockwell"/>
        </w:rPr>
        <w:t xml:space="preserve"> </w:t>
      </w:r>
      <w:r w:rsidR="000037A5" w:rsidRPr="00324B94">
        <w:rPr>
          <w:rFonts w:ascii="Rockwell" w:hAnsi="Rockwell"/>
        </w:rPr>
        <w:t>Dependent Variable</w:t>
      </w:r>
      <w:bookmarkEnd w:id="11"/>
    </w:p>
    <w:p w14:paraId="264D0144" w14:textId="77777777" w:rsidR="00784600" w:rsidRPr="009415F9" w:rsidRDefault="000037A5" w:rsidP="009415F9">
      <w:pPr>
        <w:pStyle w:val="Heading3"/>
        <w:spacing w:line="360" w:lineRule="auto"/>
        <w:rPr>
          <w:rFonts w:ascii="Times New Roman" w:hAnsi="Times New Roman" w:cs="Times New Roman"/>
          <w:b/>
          <w:i/>
          <w:color w:val="4472C4" w:themeColor="accent1"/>
        </w:rPr>
      </w:pPr>
      <w:bookmarkStart w:id="12" w:name="_Toc78045081"/>
      <w:r w:rsidRPr="00DE7D65">
        <w:rPr>
          <w:rFonts w:ascii="Times New Roman" w:hAnsi="Times New Roman" w:cs="Times New Roman"/>
          <w:b/>
          <w:i/>
          <w:color w:val="4472C4" w:themeColor="accent1"/>
        </w:rPr>
        <w:t>(Y) Public Credit Registry Coverage (% of adults)</w:t>
      </w:r>
      <w:bookmarkEnd w:id="12"/>
    </w:p>
    <w:p w14:paraId="0446E9B0" w14:textId="4033F550" w:rsidR="000037A5" w:rsidRDefault="00FE518A" w:rsidP="009415F9">
      <w:pPr>
        <w:spacing w:line="360" w:lineRule="auto"/>
        <w:rPr>
          <w:color w:val="000000" w:themeColor="text1"/>
        </w:rPr>
      </w:pPr>
      <w:r w:rsidRPr="00780EB4">
        <w:tab/>
      </w:r>
      <w:r w:rsidR="00780EB4">
        <w:t>Aligning with</w:t>
      </w:r>
      <w:r w:rsidRPr="00780EB4">
        <w:t xml:space="preserve"> </w:t>
      </w:r>
      <w:r w:rsidR="00780EB4">
        <w:t>this paper’s</w:t>
      </w:r>
      <w:r w:rsidRPr="00780EB4">
        <w:t xml:space="preserve"> discussion of secure property rights and credit market access, the dependent variable of interest in the regression model is </w:t>
      </w:r>
      <w:r w:rsidRPr="00780EB4">
        <w:rPr>
          <w:i/>
        </w:rPr>
        <w:t xml:space="preserve">Public Credit Registry Coverage (% </w:t>
      </w:r>
      <w:r w:rsidRPr="00780EB4">
        <w:rPr>
          <w:i/>
        </w:rPr>
        <w:lastRenderedPageBreak/>
        <w:t>of adults)</w:t>
      </w:r>
      <w:r w:rsidRPr="00780EB4">
        <w:t>, obtained from the World Bank</w:t>
      </w:r>
      <w:r w:rsidR="00CC42D9">
        <w:t xml:space="preserve">’s </w:t>
      </w:r>
      <w:r w:rsidR="00CC42D9">
        <w:rPr>
          <w:i/>
        </w:rPr>
        <w:t xml:space="preserve">Doing Business </w:t>
      </w:r>
      <w:r w:rsidR="00CC42D9">
        <w:t>project</w:t>
      </w:r>
      <w:r w:rsidRPr="00780EB4">
        <w:t>.</w:t>
      </w:r>
      <w:r w:rsidRPr="00780EB4">
        <w:rPr>
          <w:rStyle w:val="FootnoteReference"/>
        </w:rPr>
        <w:footnoteReference w:id="45"/>
      </w:r>
      <w:r w:rsidRPr="00780EB4">
        <w:t xml:space="preserve"> The World Bank’s definition of a credit registry is the database “</w:t>
      </w:r>
      <w:r w:rsidR="005C18F4" w:rsidRPr="00780EB4">
        <w:rPr>
          <w:color w:val="000000" w:themeColor="text1"/>
        </w:rPr>
        <w:t>managed by the public sector, usually by the central bank or the superintendent of banks, that collects information on the creditworthiness of borrowers (individuals or firms) in the financial system and facilitates the exchange of credit information among banks and other regulated financial institutions (while their primary objec</w:t>
      </w:r>
      <w:r w:rsidR="005C18F4" w:rsidRPr="00780EB4">
        <w:rPr>
          <w:color w:val="000000" w:themeColor="text1"/>
        </w:rPr>
        <w:softHyphen/>
        <w:t>tive is to assist banking supervision)</w:t>
      </w:r>
      <w:r w:rsidR="00CC42D9">
        <w:rPr>
          <w:color w:val="000000" w:themeColor="text1"/>
        </w:rPr>
        <w:t>.</w:t>
      </w:r>
      <w:r w:rsidRPr="00780EB4">
        <w:rPr>
          <w:color w:val="000000" w:themeColor="text1"/>
        </w:rPr>
        <w:t>”</w:t>
      </w:r>
      <w:r w:rsidRPr="00780EB4">
        <w:rPr>
          <w:rStyle w:val="FootnoteReference"/>
          <w:color w:val="000000" w:themeColor="text1"/>
        </w:rPr>
        <w:footnoteReference w:id="46"/>
      </w:r>
      <w:r w:rsidRPr="00780EB4">
        <w:rPr>
          <w:color w:val="000000" w:themeColor="text1"/>
        </w:rPr>
        <w:t xml:space="preserve"> Coverage of the registry is reported as “the number of individuals and firms listed in a public credit registry with current information on repayment history, unpaid debts, or credit outstanding.”</w:t>
      </w:r>
      <w:r w:rsidRPr="00780EB4">
        <w:rPr>
          <w:rStyle w:val="FootnoteReference"/>
          <w:color w:val="000000" w:themeColor="text1"/>
        </w:rPr>
        <w:footnoteReference w:id="47"/>
      </w:r>
      <w:r w:rsidRPr="00780EB4">
        <w:rPr>
          <w:color w:val="000000" w:themeColor="text1"/>
        </w:rPr>
        <w:t xml:space="preserve"> Th</w:t>
      </w:r>
      <w:r w:rsidR="00CC42D9">
        <w:rPr>
          <w:color w:val="000000" w:themeColor="text1"/>
        </w:rPr>
        <w:t>is</w:t>
      </w:r>
      <w:r w:rsidRPr="00780EB4">
        <w:rPr>
          <w:color w:val="000000" w:themeColor="text1"/>
        </w:rPr>
        <w:t xml:space="preserve"> number is expressed as a percentage of the adult population (the popula</w:t>
      </w:r>
      <w:r w:rsidRPr="00780EB4">
        <w:rPr>
          <w:color w:val="000000" w:themeColor="text1"/>
        </w:rPr>
        <w:softHyphen/>
        <w:t xml:space="preserve">tion age 15 to 64) who is currently listed in the registry. In the absence of a formal public credit </w:t>
      </w:r>
      <w:r w:rsidRPr="00080B52">
        <w:rPr>
          <w:color w:val="000000" w:themeColor="text1"/>
        </w:rPr>
        <w:t xml:space="preserve">registry operation, a country receives a coverage value of </w:t>
      </w:r>
      <w:r w:rsidR="005C18F4" w:rsidRPr="00080B52">
        <w:rPr>
          <w:color w:val="000000" w:themeColor="text1"/>
        </w:rPr>
        <w:t>0.0%.</w:t>
      </w:r>
    </w:p>
    <w:p w14:paraId="2456CD57" w14:textId="77777777" w:rsidR="00CC42D9" w:rsidRDefault="00CC42D9" w:rsidP="009415F9">
      <w:pPr>
        <w:spacing w:line="360" w:lineRule="auto"/>
        <w:rPr>
          <w:color w:val="000000" w:themeColor="text1"/>
        </w:rPr>
      </w:pPr>
    </w:p>
    <w:p w14:paraId="2F7FB5DE" w14:textId="77777777" w:rsidR="000037A5" w:rsidRPr="009415F9" w:rsidRDefault="003463CE" w:rsidP="009415F9">
      <w:pPr>
        <w:pStyle w:val="Heading2"/>
        <w:spacing w:line="360" w:lineRule="auto"/>
        <w:rPr>
          <w:rFonts w:ascii="Rockwell" w:hAnsi="Rockwell"/>
        </w:rPr>
      </w:pPr>
      <w:bookmarkStart w:id="13" w:name="_Toc78045082"/>
      <w:r w:rsidRPr="00324B94">
        <w:rPr>
          <w:rFonts w:ascii="Rockwell" w:hAnsi="Rockwell"/>
        </w:rPr>
        <w:t>4.</w:t>
      </w:r>
      <w:r w:rsidR="00684FD3" w:rsidRPr="00324B94">
        <w:rPr>
          <w:rFonts w:ascii="Rockwell" w:hAnsi="Rockwell"/>
        </w:rPr>
        <w:t xml:space="preserve">4 </w:t>
      </w:r>
      <w:r w:rsidR="000037A5" w:rsidRPr="00324B94">
        <w:rPr>
          <w:rFonts w:ascii="Rockwell" w:hAnsi="Rockwell"/>
        </w:rPr>
        <w:t>Independent Variables</w:t>
      </w:r>
      <w:bookmarkEnd w:id="13"/>
    </w:p>
    <w:p w14:paraId="5170D093" w14:textId="77777777" w:rsidR="009415F9" w:rsidRDefault="00780EB4" w:rsidP="009415F9">
      <w:pPr>
        <w:spacing w:line="360" w:lineRule="auto"/>
        <w:rPr>
          <w:color w:val="000000" w:themeColor="text1"/>
        </w:rPr>
      </w:pPr>
      <w:r w:rsidRPr="00080B52">
        <w:rPr>
          <w:color w:val="000000" w:themeColor="text1"/>
        </w:rPr>
        <w:tab/>
        <w:t xml:space="preserve">Regarding the independent variables that are included in the model, four are concerning dimensions of security within property and land institutions—reliability, transparency, coverage, and dispute mechanisms. Two additional variables were </w:t>
      </w:r>
      <w:r w:rsidR="00CB4F88" w:rsidRPr="00080B52">
        <w:rPr>
          <w:color w:val="000000" w:themeColor="text1"/>
        </w:rPr>
        <w:t xml:space="preserve">also </w:t>
      </w:r>
      <w:r w:rsidRPr="00080B52">
        <w:rPr>
          <w:color w:val="000000" w:themeColor="text1"/>
        </w:rPr>
        <w:t xml:space="preserve">included to serve as confounding variables in the model—total population and rural population. </w:t>
      </w:r>
      <w:r w:rsidR="00784600">
        <w:rPr>
          <w:color w:val="000000" w:themeColor="text1"/>
        </w:rPr>
        <w:t xml:space="preserve">Each of the six independent variables </w:t>
      </w:r>
      <w:r w:rsidR="009E04C8">
        <w:rPr>
          <w:color w:val="000000" w:themeColor="text1"/>
        </w:rPr>
        <w:t>is</w:t>
      </w:r>
      <w:r w:rsidR="00784600">
        <w:rPr>
          <w:color w:val="000000" w:themeColor="text1"/>
        </w:rPr>
        <w:t xml:space="preserve"> described below. </w:t>
      </w:r>
    </w:p>
    <w:p w14:paraId="6FFE89D1" w14:textId="77777777" w:rsidR="009415F9" w:rsidRDefault="009415F9" w:rsidP="009415F9">
      <w:pPr>
        <w:spacing w:line="360" w:lineRule="auto"/>
        <w:rPr>
          <w:color w:val="000000" w:themeColor="text1"/>
        </w:rPr>
      </w:pPr>
    </w:p>
    <w:p w14:paraId="12F9FEC8" w14:textId="77777777" w:rsidR="00784600" w:rsidRPr="009415F9" w:rsidRDefault="000037A5" w:rsidP="009415F9">
      <w:pPr>
        <w:pStyle w:val="Heading3"/>
        <w:spacing w:line="360" w:lineRule="auto"/>
        <w:rPr>
          <w:rFonts w:ascii="Times New Roman" w:hAnsi="Times New Roman" w:cs="Times New Roman"/>
          <w:b/>
          <w:i/>
          <w:color w:val="4472C4" w:themeColor="accent1"/>
        </w:rPr>
      </w:pPr>
      <w:bookmarkStart w:id="14" w:name="_Toc78045083"/>
      <w:r w:rsidRPr="00DE7D65">
        <w:rPr>
          <w:rFonts w:ascii="Times New Roman" w:hAnsi="Times New Roman" w:cs="Times New Roman"/>
          <w:b/>
          <w:i/>
          <w:color w:val="4472C4" w:themeColor="accent1"/>
        </w:rPr>
        <w:t>(X1) Reliability of Infrastructure Inde</w:t>
      </w:r>
      <w:r w:rsidR="00DE7D65">
        <w:rPr>
          <w:rFonts w:ascii="Times New Roman" w:hAnsi="Times New Roman" w:cs="Times New Roman"/>
          <w:b/>
          <w:i/>
          <w:color w:val="4472C4" w:themeColor="accent1"/>
        </w:rPr>
        <w:t>x</w:t>
      </w:r>
      <w:bookmarkEnd w:id="14"/>
    </w:p>
    <w:p w14:paraId="4684640F" w14:textId="18B14061" w:rsidR="009415F9" w:rsidRDefault="00CC38C5" w:rsidP="009415F9">
      <w:pPr>
        <w:spacing w:line="360" w:lineRule="auto"/>
        <w:rPr>
          <w:color w:val="000000" w:themeColor="text1"/>
        </w:rPr>
      </w:pPr>
      <w:r w:rsidRPr="00080B52">
        <w:rPr>
          <w:color w:val="000000" w:themeColor="text1"/>
        </w:rPr>
        <w:tab/>
        <w:t xml:space="preserve">The first variable of interest from the World Bank’s </w:t>
      </w:r>
      <w:r w:rsidRPr="00080B52">
        <w:rPr>
          <w:i/>
          <w:color w:val="000000" w:themeColor="text1"/>
        </w:rPr>
        <w:t>Doing Business</w:t>
      </w:r>
      <w:r w:rsidRPr="00080B52">
        <w:rPr>
          <w:color w:val="000000" w:themeColor="text1"/>
        </w:rPr>
        <w:t xml:space="preserve"> report is the </w:t>
      </w:r>
      <w:r w:rsidRPr="00080B52">
        <w:rPr>
          <w:i/>
          <w:color w:val="000000" w:themeColor="text1"/>
        </w:rPr>
        <w:t>Reliability of Infrastructure Index.</w:t>
      </w:r>
      <w:r w:rsidR="00380683" w:rsidRPr="00080B52">
        <w:t xml:space="preserve"> </w:t>
      </w:r>
      <w:r w:rsidR="00380683" w:rsidRPr="00EF411E">
        <w:rPr>
          <w:color w:val="000000" w:themeColor="text1"/>
        </w:rPr>
        <w:t xml:space="preserve">Reliability </w:t>
      </w:r>
      <w:r w:rsidR="00286528" w:rsidRPr="00EF411E">
        <w:rPr>
          <w:color w:val="000000" w:themeColor="text1"/>
        </w:rPr>
        <w:t xml:space="preserve">is essential in facilitating credit access as it </w:t>
      </w:r>
      <w:r w:rsidR="00EF411E" w:rsidRPr="00EF411E">
        <w:rPr>
          <w:color w:val="000000" w:themeColor="text1"/>
        </w:rPr>
        <w:t xml:space="preserve">ensures the accuracy of the records used for land-related transactions. </w:t>
      </w:r>
      <w:r w:rsidR="005438E8" w:rsidRPr="00080B52">
        <w:rPr>
          <w:color w:val="000000" w:themeColor="text1"/>
        </w:rPr>
        <w:t xml:space="preserve">The </w:t>
      </w:r>
      <w:r w:rsidR="005438E8" w:rsidRPr="00080B52">
        <w:rPr>
          <w:i/>
          <w:color w:val="000000" w:themeColor="text1"/>
        </w:rPr>
        <w:t>Reliability of Infrastructure Index</w:t>
      </w:r>
      <w:r w:rsidR="00C9240C" w:rsidRPr="00080B52">
        <w:rPr>
          <w:i/>
          <w:color w:val="000000" w:themeColor="text1"/>
        </w:rPr>
        <w:t xml:space="preserve"> </w:t>
      </w:r>
      <w:r w:rsidR="00C9240C" w:rsidRPr="00080B52">
        <w:rPr>
          <w:color w:val="000000" w:themeColor="text1"/>
        </w:rPr>
        <w:t>assesses the quality of infrastructure for ensuring the reliability of information on property titles and property boundaries.</w:t>
      </w:r>
      <w:r w:rsidR="00080B52">
        <w:rPr>
          <w:rStyle w:val="FootnoteReference"/>
          <w:color w:val="000000" w:themeColor="text1"/>
        </w:rPr>
        <w:footnoteReference w:id="48"/>
      </w:r>
      <w:r w:rsidR="00C9240C" w:rsidRPr="00080B52">
        <w:rPr>
          <w:color w:val="000000" w:themeColor="text1"/>
        </w:rPr>
        <w:t xml:space="preserve"> </w:t>
      </w:r>
      <w:r w:rsidR="00080B52">
        <w:rPr>
          <w:color w:val="000000" w:themeColor="text1"/>
        </w:rPr>
        <w:t>Specifically</w:t>
      </w:r>
      <w:r w:rsidR="00C9240C" w:rsidRPr="00080B52">
        <w:rPr>
          <w:color w:val="000000" w:themeColor="text1"/>
        </w:rPr>
        <w:t xml:space="preserve">, this index is concerned with the format in which land records and land parcel maps are kept at the registry. A country will receive a high </w:t>
      </w:r>
      <w:r w:rsidR="00080B52">
        <w:rPr>
          <w:color w:val="000000" w:themeColor="text1"/>
        </w:rPr>
        <w:t>score for reliability</w:t>
      </w:r>
      <w:r w:rsidR="00C9240C" w:rsidRPr="00080B52">
        <w:rPr>
          <w:color w:val="000000" w:themeColor="text1"/>
        </w:rPr>
        <w:t xml:space="preserve"> if they utilize digital records in a consolidated electronic database between the land </w:t>
      </w:r>
      <w:r w:rsidR="00C9240C" w:rsidRPr="00605582">
        <w:rPr>
          <w:color w:val="000000" w:themeColor="text1"/>
        </w:rPr>
        <w:lastRenderedPageBreak/>
        <w:t>ownership registry and mapping agency.</w:t>
      </w:r>
      <w:r w:rsidR="00380683" w:rsidRPr="00605582">
        <w:rPr>
          <w:rStyle w:val="FootnoteReference"/>
        </w:rPr>
        <w:footnoteReference w:id="49"/>
      </w:r>
      <w:r w:rsidR="00C9240C" w:rsidRPr="00605582">
        <w:rPr>
          <w:color w:val="000000" w:themeColor="text1"/>
        </w:rPr>
        <w:t xml:space="preserve"> </w:t>
      </w:r>
      <w:r w:rsidR="00CC42D9">
        <w:rPr>
          <w:color w:val="000000" w:themeColor="text1"/>
        </w:rPr>
        <w:t>In contrast, a</w:t>
      </w:r>
      <w:r w:rsidR="0089595D" w:rsidRPr="00605582">
        <w:rPr>
          <w:color w:val="000000" w:themeColor="text1"/>
        </w:rPr>
        <w:t xml:space="preserve"> greater reliance on paper format would result in a lower score </w:t>
      </w:r>
      <w:r w:rsidR="00CC42D9">
        <w:rPr>
          <w:color w:val="000000" w:themeColor="text1"/>
        </w:rPr>
        <w:t>in</w:t>
      </w:r>
      <w:r w:rsidR="0089595D" w:rsidRPr="00605582">
        <w:rPr>
          <w:color w:val="000000" w:themeColor="text1"/>
        </w:rPr>
        <w:t xml:space="preserve"> this dimension of the land administration system. </w:t>
      </w:r>
    </w:p>
    <w:p w14:paraId="59F4EE18" w14:textId="77777777" w:rsidR="000E2AAA" w:rsidRPr="009415F9" w:rsidRDefault="000E2AAA" w:rsidP="009415F9">
      <w:pPr>
        <w:spacing w:line="360" w:lineRule="auto"/>
        <w:rPr>
          <w:color w:val="000000" w:themeColor="text1"/>
        </w:rPr>
      </w:pPr>
    </w:p>
    <w:p w14:paraId="5FFF7920" w14:textId="77777777" w:rsidR="00784600" w:rsidRPr="009415F9" w:rsidRDefault="000037A5" w:rsidP="009415F9">
      <w:pPr>
        <w:pStyle w:val="Heading3"/>
        <w:spacing w:line="360" w:lineRule="auto"/>
        <w:rPr>
          <w:rFonts w:ascii="Times New Roman" w:hAnsi="Times New Roman" w:cs="Times New Roman"/>
          <w:b/>
          <w:i/>
          <w:color w:val="4472C4" w:themeColor="accent1"/>
        </w:rPr>
      </w:pPr>
      <w:bookmarkStart w:id="15" w:name="_Toc78045084"/>
      <w:r w:rsidRPr="00DE7D65">
        <w:rPr>
          <w:rFonts w:ascii="Times New Roman" w:hAnsi="Times New Roman" w:cs="Times New Roman"/>
          <w:b/>
          <w:i/>
          <w:color w:val="4472C4" w:themeColor="accent1"/>
        </w:rPr>
        <w:t>(X2) Transparency of Information Index</w:t>
      </w:r>
      <w:bookmarkEnd w:id="15"/>
    </w:p>
    <w:p w14:paraId="66D6AD1E" w14:textId="600AD145" w:rsidR="0089595D" w:rsidRDefault="00380683" w:rsidP="009415F9">
      <w:pPr>
        <w:spacing w:line="360" w:lineRule="auto"/>
        <w:ind w:firstLine="720"/>
        <w:rPr>
          <w:color w:val="000000" w:themeColor="text1"/>
        </w:rPr>
      </w:pPr>
      <w:r w:rsidRPr="00605582">
        <w:rPr>
          <w:color w:val="000000" w:themeColor="text1"/>
        </w:rPr>
        <w:t xml:space="preserve">The second variable of interest from the World Bank’s </w:t>
      </w:r>
      <w:r w:rsidRPr="00605582">
        <w:rPr>
          <w:i/>
          <w:color w:val="000000" w:themeColor="text1"/>
        </w:rPr>
        <w:t>Doing Business</w:t>
      </w:r>
      <w:r w:rsidRPr="00605582">
        <w:rPr>
          <w:color w:val="000000" w:themeColor="text1"/>
        </w:rPr>
        <w:t xml:space="preserve"> report is the </w:t>
      </w:r>
      <w:r w:rsidRPr="00605582">
        <w:rPr>
          <w:i/>
          <w:color w:val="000000" w:themeColor="text1"/>
        </w:rPr>
        <w:t xml:space="preserve">Transparency of Information Index. </w:t>
      </w:r>
      <w:r w:rsidR="00286528" w:rsidRPr="00605582">
        <w:rPr>
          <w:color w:val="000000" w:themeColor="text1"/>
        </w:rPr>
        <w:t xml:space="preserve">Transparency helps to facilitate credit access by allowing potential </w:t>
      </w:r>
      <w:r w:rsidR="00286528" w:rsidRPr="00605582">
        <w:t xml:space="preserve">lenders “to </w:t>
      </w:r>
      <w:r w:rsidR="00CB4F88" w:rsidRPr="00605582">
        <w:t>ascertain property ownership and to acquire data on the operation of property markets, particularly prices and transaction numbers to feed into economic decisions.</w:t>
      </w:r>
      <w:r w:rsidR="00286528" w:rsidRPr="00605582">
        <w:t>”</w:t>
      </w:r>
      <w:r w:rsidR="00286528" w:rsidRPr="00605582">
        <w:rPr>
          <w:rStyle w:val="FootnoteReference"/>
        </w:rPr>
        <w:footnoteReference w:id="50"/>
      </w:r>
      <w:r w:rsidR="00080B52" w:rsidRPr="00605582">
        <w:t xml:space="preserve"> </w:t>
      </w:r>
      <w:r w:rsidR="00286528" w:rsidRPr="00605582">
        <w:t xml:space="preserve">The </w:t>
      </w:r>
      <w:r w:rsidR="00286528" w:rsidRPr="00605582">
        <w:rPr>
          <w:i/>
          <w:color w:val="000000" w:themeColor="text1"/>
        </w:rPr>
        <w:t xml:space="preserve">Transparency of Information Index </w:t>
      </w:r>
      <w:r w:rsidR="00286528" w:rsidRPr="00605582">
        <w:rPr>
          <w:color w:val="000000" w:themeColor="text1"/>
        </w:rPr>
        <w:t xml:space="preserve">assesses </w:t>
      </w:r>
      <w:r w:rsidR="00080B52" w:rsidRPr="00605582">
        <w:rPr>
          <w:color w:val="000000" w:themeColor="text1"/>
        </w:rPr>
        <w:t xml:space="preserve">the public availability of information concerning land ownership, land parcel maps, documents for property transactions, fee schedules, </w:t>
      </w:r>
      <w:r w:rsidR="00CC42D9">
        <w:rPr>
          <w:color w:val="000000" w:themeColor="text1"/>
        </w:rPr>
        <w:t xml:space="preserve">and </w:t>
      </w:r>
      <w:r w:rsidR="00080B52" w:rsidRPr="00605582">
        <w:rPr>
          <w:color w:val="000000" w:themeColor="text1"/>
        </w:rPr>
        <w:t>service standards.</w:t>
      </w:r>
      <w:r w:rsidR="00080B52" w:rsidRPr="00605582">
        <w:rPr>
          <w:rStyle w:val="FootnoteReference"/>
          <w:color w:val="000000" w:themeColor="text1"/>
        </w:rPr>
        <w:footnoteReference w:id="51"/>
      </w:r>
      <w:r w:rsidR="00080B52" w:rsidRPr="00605582">
        <w:rPr>
          <w:color w:val="000000" w:themeColor="text1"/>
        </w:rPr>
        <w:t xml:space="preserve"> A country will receive a higher score in transparency based on the extent to which land-related information is publicly accessible</w:t>
      </w:r>
      <w:r w:rsidR="0089595D" w:rsidRPr="00605582">
        <w:rPr>
          <w:color w:val="000000" w:themeColor="text1"/>
        </w:rPr>
        <w:t xml:space="preserve"> online. Conversely, if such information can only be accessed in person or has not </w:t>
      </w:r>
      <w:r w:rsidR="009E04C8">
        <w:rPr>
          <w:color w:val="000000" w:themeColor="text1"/>
        </w:rPr>
        <w:t xml:space="preserve">been </w:t>
      </w:r>
      <w:r w:rsidR="0089595D" w:rsidRPr="00605582">
        <w:rPr>
          <w:color w:val="000000" w:themeColor="text1"/>
        </w:rPr>
        <w:t xml:space="preserve">made public, the lower a country’s score will be in this dimension of the land administration system. </w:t>
      </w:r>
    </w:p>
    <w:p w14:paraId="54BC58B3" w14:textId="77777777" w:rsidR="000037A5" w:rsidRDefault="000037A5" w:rsidP="009415F9">
      <w:pPr>
        <w:pStyle w:val="Heading4"/>
        <w:spacing w:line="360" w:lineRule="auto"/>
        <w:rPr>
          <w:rFonts w:ascii="Rockwell" w:hAnsi="Rockwell"/>
        </w:rPr>
      </w:pPr>
    </w:p>
    <w:p w14:paraId="58A3AE15" w14:textId="77777777" w:rsidR="00784600" w:rsidRPr="009415F9" w:rsidRDefault="000037A5" w:rsidP="009415F9">
      <w:pPr>
        <w:pStyle w:val="Heading3"/>
        <w:spacing w:line="360" w:lineRule="auto"/>
        <w:rPr>
          <w:rFonts w:ascii="Times New Roman" w:hAnsi="Times New Roman" w:cs="Times New Roman"/>
          <w:b/>
          <w:i/>
          <w:color w:val="4472C4" w:themeColor="accent1"/>
        </w:rPr>
      </w:pPr>
      <w:bookmarkStart w:id="16" w:name="_Toc78045085"/>
      <w:r w:rsidRPr="00DE7D65">
        <w:rPr>
          <w:rFonts w:ascii="Times New Roman" w:hAnsi="Times New Roman" w:cs="Times New Roman"/>
          <w:b/>
          <w:i/>
          <w:color w:val="4472C4" w:themeColor="accent1"/>
        </w:rPr>
        <w:t>(X3) Geographic Coverage Index</w:t>
      </w:r>
      <w:bookmarkEnd w:id="16"/>
    </w:p>
    <w:p w14:paraId="127FC5BC" w14:textId="1DC55D58" w:rsidR="00784600" w:rsidRPr="00EB5648" w:rsidRDefault="0089595D" w:rsidP="00EB5648">
      <w:pPr>
        <w:spacing w:line="360" w:lineRule="auto"/>
        <w:ind w:firstLine="720"/>
        <w:rPr>
          <w:color w:val="C00000"/>
        </w:rPr>
      </w:pPr>
      <w:r w:rsidRPr="00605582">
        <w:rPr>
          <w:color w:val="000000" w:themeColor="text1"/>
        </w:rPr>
        <w:t xml:space="preserve">The third variable of interest from the World Bank’s </w:t>
      </w:r>
      <w:r w:rsidRPr="00605582">
        <w:rPr>
          <w:i/>
          <w:color w:val="000000" w:themeColor="text1"/>
        </w:rPr>
        <w:t>Doing Business</w:t>
      </w:r>
      <w:r w:rsidRPr="00605582">
        <w:rPr>
          <w:color w:val="000000" w:themeColor="text1"/>
        </w:rPr>
        <w:t xml:space="preserve"> report is the </w:t>
      </w:r>
      <w:r w:rsidRPr="00605582">
        <w:rPr>
          <w:i/>
          <w:color w:val="000000" w:themeColor="text1"/>
        </w:rPr>
        <w:t>Geographic Coverage Index.</w:t>
      </w:r>
      <w:r w:rsidRPr="00605582">
        <w:rPr>
          <w:color w:val="000000" w:themeColor="text1"/>
        </w:rPr>
        <w:t xml:space="preserve"> Coverage is an indispensable dimension of the land administration system as the utility of the system is inherently limited when it lacks completeness of coverage. Hillhort and Frederic (2015) argue that “</w:t>
      </w:r>
      <w:r w:rsidR="00CB4F88" w:rsidRPr="00605582">
        <w:t>covering only a small fraction of relevant land may mean forgoing important external effects from land registration and may make those not covered vul</w:t>
      </w:r>
      <w:r w:rsidR="00EF411E" w:rsidRPr="00605582">
        <w:t>n</w:t>
      </w:r>
      <w:r w:rsidR="00CB4F88" w:rsidRPr="00605582">
        <w:t>erable to loss of their rights through often speculative land acquisition.”</w:t>
      </w:r>
      <w:r w:rsidR="00CB4F88" w:rsidRPr="00605582">
        <w:rPr>
          <w:rStyle w:val="FootnoteReference"/>
        </w:rPr>
        <w:footnoteReference w:id="52"/>
      </w:r>
      <w:r w:rsidRPr="00605582">
        <w:t xml:space="preserve"> As a result, the </w:t>
      </w:r>
      <w:r w:rsidRPr="00605582">
        <w:rPr>
          <w:i/>
          <w:color w:val="000000" w:themeColor="text1"/>
        </w:rPr>
        <w:t xml:space="preserve">Geographic Coverage Index </w:t>
      </w:r>
      <w:r w:rsidRPr="00605582">
        <w:rPr>
          <w:color w:val="000000" w:themeColor="text1"/>
        </w:rPr>
        <w:t xml:space="preserve">concerns </w:t>
      </w:r>
      <w:r w:rsidR="0084162B" w:rsidRPr="00605582">
        <w:t>the completeness of coverage in land ownership registration and cadastral mapping that exists in a country’s largest business city and the economy overall.</w:t>
      </w:r>
      <w:r w:rsidR="0084162B" w:rsidRPr="00605582">
        <w:rPr>
          <w:rStyle w:val="FootnoteReference"/>
        </w:rPr>
        <w:footnoteReference w:id="53"/>
      </w:r>
      <w:r w:rsidR="00A916A6" w:rsidRPr="00605582">
        <w:t xml:space="preserve"> </w:t>
      </w:r>
      <w:r w:rsidR="00A916A6" w:rsidRPr="009E04C8">
        <w:rPr>
          <w:color w:val="000000" w:themeColor="text1"/>
        </w:rPr>
        <w:t xml:space="preserve">A higher score in this area suggests that a country’s land administration system is not only concerned with </w:t>
      </w:r>
      <w:r w:rsidR="00EF411E" w:rsidRPr="009E04C8">
        <w:rPr>
          <w:color w:val="000000" w:themeColor="text1"/>
        </w:rPr>
        <w:t>the most economically</w:t>
      </w:r>
      <w:r w:rsidR="009E04C8" w:rsidRPr="009E04C8">
        <w:rPr>
          <w:color w:val="000000" w:themeColor="text1"/>
        </w:rPr>
        <w:t xml:space="preserve"> </w:t>
      </w:r>
      <w:r w:rsidR="00EF411E" w:rsidRPr="009E04C8">
        <w:rPr>
          <w:color w:val="000000" w:themeColor="text1"/>
        </w:rPr>
        <w:t>relevant land</w:t>
      </w:r>
      <w:r w:rsidR="00CC42D9">
        <w:rPr>
          <w:color w:val="000000" w:themeColor="text1"/>
        </w:rPr>
        <w:t>.</w:t>
      </w:r>
    </w:p>
    <w:p w14:paraId="4AD16CE0" w14:textId="77777777" w:rsidR="00784600" w:rsidRPr="009415F9" w:rsidRDefault="000037A5" w:rsidP="009415F9">
      <w:pPr>
        <w:pStyle w:val="Heading3"/>
        <w:spacing w:line="360" w:lineRule="auto"/>
        <w:rPr>
          <w:rFonts w:ascii="Times New Roman" w:hAnsi="Times New Roman" w:cs="Times New Roman"/>
          <w:b/>
          <w:i/>
          <w:color w:val="4472C4" w:themeColor="accent1"/>
        </w:rPr>
      </w:pPr>
      <w:bookmarkStart w:id="17" w:name="_Toc78045086"/>
      <w:r w:rsidRPr="00DE7D65">
        <w:rPr>
          <w:rFonts w:ascii="Times New Roman" w:hAnsi="Times New Roman" w:cs="Times New Roman"/>
          <w:b/>
          <w:i/>
          <w:color w:val="4472C4" w:themeColor="accent1"/>
        </w:rPr>
        <w:lastRenderedPageBreak/>
        <w:t>(X4) Land Dispute Resolution Index</w:t>
      </w:r>
      <w:bookmarkEnd w:id="17"/>
    </w:p>
    <w:p w14:paraId="5F4AB453" w14:textId="0E6A5002" w:rsidR="00605582" w:rsidRDefault="00EF411E" w:rsidP="009415F9">
      <w:pPr>
        <w:spacing w:line="360" w:lineRule="auto"/>
        <w:ind w:firstLine="720"/>
      </w:pPr>
      <w:r w:rsidRPr="00605582">
        <w:rPr>
          <w:color w:val="000000" w:themeColor="text1"/>
        </w:rPr>
        <w:t xml:space="preserve">The fourth variable of interest from the World Bank’s </w:t>
      </w:r>
      <w:r w:rsidRPr="00605582">
        <w:rPr>
          <w:i/>
          <w:color w:val="000000" w:themeColor="text1"/>
        </w:rPr>
        <w:t>Doing Business</w:t>
      </w:r>
      <w:r w:rsidRPr="00605582">
        <w:rPr>
          <w:color w:val="000000" w:themeColor="text1"/>
        </w:rPr>
        <w:t xml:space="preserve"> report is the </w:t>
      </w:r>
      <w:r w:rsidRPr="00605582">
        <w:rPr>
          <w:i/>
          <w:color w:val="000000" w:themeColor="text1"/>
        </w:rPr>
        <w:t xml:space="preserve">Land Dispute Resolution Index. </w:t>
      </w:r>
      <w:r w:rsidRPr="00605582">
        <w:rPr>
          <w:color w:val="000000" w:themeColor="text1"/>
        </w:rPr>
        <w:t>Dispute prevention and resolution mechanisms are important as dispute</w:t>
      </w:r>
      <w:r w:rsidR="00605582" w:rsidRPr="00605582">
        <w:rPr>
          <w:color w:val="000000" w:themeColor="text1"/>
        </w:rPr>
        <w:t>s or uncertainty</w:t>
      </w:r>
      <w:r w:rsidRPr="00605582">
        <w:rPr>
          <w:color w:val="000000" w:themeColor="text1"/>
        </w:rPr>
        <w:t xml:space="preserve"> over ownership hinder the primary step of the collateralization process—obtaining a formal title. </w:t>
      </w:r>
      <w:r w:rsidR="00605582" w:rsidRPr="00605582">
        <w:rPr>
          <w:color w:val="000000" w:themeColor="text1"/>
        </w:rPr>
        <w:t xml:space="preserve">The </w:t>
      </w:r>
      <w:r w:rsidR="00605582" w:rsidRPr="00605582">
        <w:rPr>
          <w:i/>
          <w:color w:val="000000" w:themeColor="text1"/>
        </w:rPr>
        <w:t xml:space="preserve">Land Dispute Resolution Index </w:t>
      </w:r>
      <w:r w:rsidR="00605582" w:rsidRPr="00605582">
        <w:rPr>
          <w:color w:val="000000" w:themeColor="text1"/>
        </w:rPr>
        <w:t xml:space="preserve">assesses </w:t>
      </w:r>
      <w:r w:rsidR="00605582" w:rsidRPr="00605582">
        <w:t>the legal framework for immovable property registration and the accessibility of dispute resolution mechanisms.</w:t>
      </w:r>
      <w:r w:rsidR="00605582" w:rsidRPr="00605582">
        <w:rPr>
          <w:rStyle w:val="FootnoteReference"/>
        </w:rPr>
        <w:footnoteReference w:id="54"/>
      </w:r>
      <w:r w:rsidR="00605582" w:rsidRPr="00605582">
        <w:t xml:space="preserve"> </w:t>
      </w:r>
      <w:r w:rsidR="00605582" w:rsidRPr="00605582">
        <w:rPr>
          <w:color w:val="000000" w:themeColor="text1"/>
        </w:rPr>
        <w:t>A high score in this area is dependent on</w:t>
      </w:r>
      <w:r w:rsidR="009E04C8">
        <w:rPr>
          <w:color w:val="000000" w:themeColor="text1"/>
        </w:rPr>
        <w:t xml:space="preserve"> the</w:t>
      </w:r>
      <w:r w:rsidR="00605582" w:rsidRPr="00605582">
        <w:rPr>
          <w:color w:val="000000" w:themeColor="text1"/>
        </w:rPr>
        <w:t xml:space="preserve"> presence of “</w:t>
      </w:r>
      <w:r w:rsidR="00605582" w:rsidRPr="00605582">
        <w:t>a clear legal and regulatory framework with clear processes to ensure accuracy of the records used for land transactions, as well as the identity of transacting parties” within the land administration system.</w:t>
      </w:r>
      <w:r w:rsidR="00605582" w:rsidRPr="00605582">
        <w:rPr>
          <w:rStyle w:val="FootnoteReference"/>
        </w:rPr>
        <w:footnoteReference w:id="55"/>
      </w:r>
    </w:p>
    <w:p w14:paraId="4FF4C405" w14:textId="77777777" w:rsidR="000037A5" w:rsidRDefault="000037A5" w:rsidP="009415F9">
      <w:pPr>
        <w:spacing w:line="360" w:lineRule="auto"/>
        <w:rPr>
          <w:color w:val="000000" w:themeColor="text1"/>
        </w:rPr>
      </w:pPr>
    </w:p>
    <w:p w14:paraId="7C10D4EC" w14:textId="77777777" w:rsidR="00784600" w:rsidRPr="009415F9" w:rsidRDefault="000037A5" w:rsidP="009415F9">
      <w:pPr>
        <w:pStyle w:val="Heading3"/>
        <w:spacing w:line="360" w:lineRule="auto"/>
        <w:rPr>
          <w:rFonts w:ascii="Times New Roman" w:hAnsi="Times New Roman" w:cs="Times New Roman"/>
          <w:b/>
          <w:i/>
          <w:color w:val="4472C4" w:themeColor="accent1"/>
        </w:rPr>
      </w:pPr>
      <w:bookmarkStart w:id="18" w:name="_Toc78045087"/>
      <w:r w:rsidRPr="00DE7D65">
        <w:rPr>
          <w:rFonts w:ascii="Times New Roman" w:hAnsi="Times New Roman" w:cs="Times New Roman"/>
          <w:b/>
          <w:i/>
          <w:color w:val="4472C4" w:themeColor="accent1"/>
        </w:rPr>
        <w:t xml:space="preserve">(X5) </w:t>
      </w:r>
      <w:r w:rsidR="00356694" w:rsidRPr="00DE7D65">
        <w:rPr>
          <w:rFonts w:ascii="Times New Roman" w:hAnsi="Times New Roman" w:cs="Times New Roman"/>
          <w:b/>
          <w:i/>
          <w:color w:val="4472C4" w:themeColor="accent1"/>
        </w:rPr>
        <w:t>Population, total</w:t>
      </w:r>
      <w:bookmarkEnd w:id="18"/>
    </w:p>
    <w:p w14:paraId="2CC54B29" w14:textId="1F8C0C4F" w:rsidR="00C34EC5" w:rsidRDefault="001054FA" w:rsidP="00AE4E4C">
      <w:pPr>
        <w:spacing w:line="360" w:lineRule="auto"/>
        <w:ind w:firstLine="720"/>
      </w:pPr>
      <w:r w:rsidRPr="00605582">
        <w:t xml:space="preserve">The </w:t>
      </w:r>
      <w:r w:rsidR="00605582" w:rsidRPr="00605582">
        <w:t>fifth and sixth</w:t>
      </w:r>
      <w:r w:rsidRPr="00605582">
        <w:t xml:space="preserve"> variables were included </w:t>
      </w:r>
      <w:r w:rsidR="0079729E" w:rsidRPr="00605582">
        <w:t xml:space="preserve">in the regression model to serve the function of confounding variables. </w:t>
      </w:r>
      <w:r w:rsidR="00D706EB" w:rsidRPr="00605582">
        <w:t xml:space="preserve">A confounding variable serves to account for extraneous influences in the model, beyond the primary variables of interest. </w:t>
      </w:r>
      <w:r w:rsidR="0079729E" w:rsidRPr="00605582">
        <w:t xml:space="preserve">The </w:t>
      </w:r>
      <w:r w:rsidR="00605582" w:rsidRPr="00605582">
        <w:t xml:space="preserve">fifth </w:t>
      </w:r>
      <w:r w:rsidR="0079729E" w:rsidRPr="00605582">
        <w:t>variable</w:t>
      </w:r>
      <w:r w:rsidR="00D706EB" w:rsidRPr="00605582">
        <w:rPr>
          <w:i/>
        </w:rPr>
        <w:t xml:space="preserve"> P</w:t>
      </w:r>
      <w:r w:rsidR="0079729E" w:rsidRPr="00605582">
        <w:rPr>
          <w:i/>
        </w:rPr>
        <w:t xml:space="preserve">opulation, total </w:t>
      </w:r>
      <w:r w:rsidR="0079729E" w:rsidRPr="00605582">
        <w:t xml:space="preserve">was included to account for differences in population sizes across the countries included in the sample. A larger population size would necessitate a greater institutional capacity </w:t>
      </w:r>
      <w:r w:rsidR="006A0104" w:rsidRPr="00605582">
        <w:t xml:space="preserve">of the land administration system </w:t>
      </w:r>
      <w:r w:rsidR="0079729E" w:rsidRPr="00605582">
        <w:t xml:space="preserve">to accommodate more individuals. </w:t>
      </w:r>
      <w:r w:rsidR="006A0104" w:rsidRPr="00605582">
        <w:t xml:space="preserve">Thus, it is of relevance to include in the regression model. </w:t>
      </w:r>
      <w:r w:rsidR="0079729E" w:rsidRPr="00605582">
        <w:t xml:space="preserve">The variable </w:t>
      </w:r>
      <w:r w:rsidR="00D706EB" w:rsidRPr="00605582">
        <w:rPr>
          <w:i/>
        </w:rPr>
        <w:t>P</w:t>
      </w:r>
      <w:r w:rsidR="0079729E" w:rsidRPr="00605582">
        <w:rPr>
          <w:i/>
        </w:rPr>
        <w:t xml:space="preserve">opulation, total </w:t>
      </w:r>
      <w:r w:rsidR="0079729E" w:rsidRPr="00605582">
        <w:rPr>
          <w:bCs/>
        </w:rPr>
        <w:t>refers to</w:t>
      </w:r>
      <w:r w:rsidR="0079729E" w:rsidRPr="00605582">
        <w:rPr>
          <w:b/>
          <w:bCs/>
        </w:rPr>
        <w:t xml:space="preserve"> </w:t>
      </w:r>
      <w:r w:rsidR="0079729E" w:rsidRPr="00605582">
        <w:t>all residents within a country, regardless of legal status or citizenship.</w:t>
      </w:r>
      <w:r w:rsidR="0079729E" w:rsidRPr="00605582">
        <w:rPr>
          <w:rStyle w:val="FootnoteReference"/>
        </w:rPr>
        <w:footnoteReference w:id="56"/>
      </w:r>
      <w:r w:rsidR="0079729E" w:rsidRPr="00605582">
        <w:t xml:space="preserve"> The aggregation method for this variable is sum. The source of the data is based on national population censuses. </w:t>
      </w:r>
    </w:p>
    <w:p w14:paraId="27E12D40" w14:textId="77777777" w:rsidR="00AE4E4C" w:rsidRPr="00AE4E4C" w:rsidRDefault="00AE4E4C" w:rsidP="00AE4E4C">
      <w:pPr>
        <w:spacing w:line="360" w:lineRule="auto"/>
        <w:ind w:firstLine="720"/>
      </w:pPr>
    </w:p>
    <w:p w14:paraId="0491C36D" w14:textId="77777777" w:rsidR="00784600" w:rsidRPr="009415F9" w:rsidRDefault="00356694" w:rsidP="009415F9">
      <w:pPr>
        <w:pStyle w:val="Heading3"/>
        <w:spacing w:line="360" w:lineRule="auto"/>
        <w:rPr>
          <w:rFonts w:ascii="Times New Roman" w:hAnsi="Times New Roman" w:cs="Times New Roman"/>
          <w:b/>
          <w:i/>
          <w:color w:val="4472C4" w:themeColor="accent1"/>
        </w:rPr>
      </w:pPr>
      <w:bookmarkStart w:id="19" w:name="_Toc78045088"/>
      <w:r w:rsidRPr="003463CE">
        <w:rPr>
          <w:rFonts w:ascii="Times New Roman" w:hAnsi="Times New Roman" w:cs="Times New Roman"/>
          <w:b/>
          <w:i/>
          <w:color w:val="4472C4" w:themeColor="accent1"/>
        </w:rPr>
        <w:t>(X6) Rural population (% of total population)</w:t>
      </w:r>
      <w:bookmarkEnd w:id="19"/>
    </w:p>
    <w:p w14:paraId="6A31033E" w14:textId="7A556F85" w:rsidR="001A2B54" w:rsidRDefault="00D706EB" w:rsidP="001A2B54">
      <w:pPr>
        <w:spacing w:line="360" w:lineRule="auto"/>
        <w:ind w:firstLine="720"/>
        <w:rPr>
          <w:color w:val="000000" w:themeColor="text1"/>
        </w:rPr>
      </w:pPr>
      <w:r w:rsidRPr="00605582">
        <w:t>The</w:t>
      </w:r>
      <w:r w:rsidR="00605582" w:rsidRPr="00605582">
        <w:t xml:space="preserve"> sixth</w:t>
      </w:r>
      <w:r w:rsidRPr="00605582">
        <w:t xml:space="preserve"> variable </w:t>
      </w:r>
      <w:r w:rsidRPr="00605582">
        <w:rPr>
          <w:i/>
          <w:color w:val="000000" w:themeColor="text1"/>
        </w:rPr>
        <w:t>Rural population (% of total population)</w:t>
      </w:r>
      <w:r w:rsidRPr="00605582">
        <w:rPr>
          <w:color w:val="000000" w:themeColor="text1"/>
        </w:rPr>
        <w:t xml:space="preserve"> also serves the purpose of a confounding variable. </w:t>
      </w:r>
      <w:r w:rsidRPr="00605582">
        <w:rPr>
          <w:i/>
          <w:color w:val="000000" w:themeColor="text1"/>
        </w:rPr>
        <w:t xml:space="preserve">Rural population (% of total population) </w:t>
      </w:r>
      <w:r w:rsidRPr="00605582">
        <w:rPr>
          <w:color w:val="000000" w:themeColor="text1"/>
        </w:rPr>
        <w:t xml:space="preserve">refers to </w:t>
      </w:r>
      <w:r w:rsidRPr="00605582">
        <w:t xml:space="preserve">the </w:t>
      </w:r>
      <w:r w:rsidR="009E04C8">
        <w:t>number</w:t>
      </w:r>
      <w:r w:rsidRPr="00605582">
        <w:t xml:space="preserve"> of </w:t>
      </w:r>
      <w:r w:rsidRPr="00605582">
        <w:rPr>
          <w:color w:val="000000" w:themeColor="text1"/>
        </w:rPr>
        <w:t>individuals</w:t>
      </w:r>
      <w:r w:rsidR="002A1B3B" w:rsidRPr="00605582">
        <w:rPr>
          <w:color w:val="000000" w:themeColor="text1"/>
        </w:rPr>
        <w:t xml:space="preserve"> living in rural areas</w:t>
      </w:r>
      <w:r w:rsidRPr="00605582">
        <w:rPr>
          <w:color w:val="000000" w:themeColor="text1"/>
        </w:rPr>
        <w:t>,</w:t>
      </w:r>
      <w:r w:rsidR="002A1B3B" w:rsidRPr="00605582">
        <w:rPr>
          <w:color w:val="000000" w:themeColor="text1"/>
        </w:rPr>
        <w:t xml:space="preserve"> as defined by national statistical offices. </w:t>
      </w:r>
      <w:r w:rsidRPr="00605582">
        <w:rPr>
          <w:color w:val="000000" w:themeColor="text1"/>
        </w:rPr>
        <w:t>Although the definition used to distinguish rurality varies contextually, this variable operationalizes a definition of rurality in terms of population density and proximity to larger cities.</w:t>
      </w:r>
      <w:r w:rsidRPr="00605582">
        <w:rPr>
          <w:rStyle w:val="FootnoteReference"/>
          <w:color w:val="000000" w:themeColor="text1"/>
        </w:rPr>
        <w:footnoteReference w:id="57"/>
      </w:r>
      <w:r w:rsidRPr="00605582">
        <w:rPr>
          <w:color w:val="000000" w:themeColor="text1"/>
        </w:rPr>
        <w:t xml:space="preserve"> The percentage is </w:t>
      </w:r>
      <w:r w:rsidRPr="00605582">
        <w:rPr>
          <w:color w:val="000000" w:themeColor="text1"/>
        </w:rPr>
        <w:lastRenderedPageBreak/>
        <w:t xml:space="preserve">calculated as the difference between the total population and the urban population. The aggregation method for this variable is weighted average. The World Bank’s estimate for </w:t>
      </w:r>
      <w:r w:rsidRPr="00605582">
        <w:rPr>
          <w:i/>
          <w:color w:val="000000" w:themeColor="text1"/>
        </w:rPr>
        <w:t xml:space="preserve">Rural population (% of total population) </w:t>
      </w:r>
      <w:r w:rsidR="006A0104" w:rsidRPr="00605582">
        <w:rPr>
          <w:color w:val="000000" w:themeColor="text1"/>
        </w:rPr>
        <w:t>is based on the United Nations World Urbanization Prospects.</w:t>
      </w:r>
      <w:r w:rsidR="00CC42D9">
        <w:rPr>
          <w:rStyle w:val="FootnoteReference"/>
          <w:color w:val="000000" w:themeColor="text1"/>
        </w:rPr>
        <w:footnoteReference w:id="58"/>
      </w:r>
      <w:r w:rsidR="006A0104" w:rsidRPr="00605582">
        <w:rPr>
          <w:color w:val="000000" w:themeColor="text1"/>
        </w:rPr>
        <w:t xml:space="preserve"> By including the dimension of rurality, the model seeks to account for geographic disparities within the land administration system that affect the scope of coverage and accessibility of services</w:t>
      </w:r>
      <w:r w:rsidR="00632997" w:rsidRPr="00605582">
        <w:rPr>
          <w:color w:val="000000" w:themeColor="text1"/>
        </w:rPr>
        <w:t xml:space="preserve"> throughout a country. </w:t>
      </w:r>
    </w:p>
    <w:p w14:paraId="3AA43C6D" w14:textId="77777777" w:rsidR="001A2B54" w:rsidRPr="001A2B54" w:rsidRDefault="001A2B54" w:rsidP="001A2B54">
      <w:pPr>
        <w:ind w:firstLine="720"/>
        <w:rPr>
          <w:color w:val="000000" w:themeColor="text1"/>
          <w:sz w:val="20"/>
          <w:szCs w:val="20"/>
        </w:rPr>
      </w:pPr>
    </w:p>
    <w:p w14:paraId="722D63A9" w14:textId="078D782A" w:rsidR="00684FD3" w:rsidRPr="00260585" w:rsidRDefault="00356694" w:rsidP="00260585">
      <w:pPr>
        <w:pStyle w:val="Heading1"/>
        <w:spacing w:line="360" w:lineRule="auto"/>
        <w:rPr>
          <w:rFonts w:ascii="Rockwell" w:hAnsi="Rockwell"/>
          <w:sz w:val="28"/>
          <w:szCs w:val="24"/>
        </w:rPr>
      </w:pPr>
      <w:bookmarkStart w:id="20" w:name="_Toc78045089"/>
      <w:r w:rsidRPr="00DE7D65">
        <w:rPr>
          <w:rFonts w:ascii="Rockwell" w:hAnsi="Rockwell"/>
          <w:sz w:val="28"/>
          <w:szCs w:val="24"/>
        </w:rPr>
        <w:t>5</w:t>
      </w:r>
      <w:r w:rsidR="00D378D6" w:rsidRPr="00DE7D65">
        <w:rPr>
          <w:rFonts w:ascii="Rockwell" w:hAnsi="Rockwell"/>
          <w:sz w:val="28"/>
          <w:szCs w:val="24"/>
        </w:rPr>
        <w:t>. Research Findings</w:t>
      </w:r>
      <w:bookmarkEnd w:id="20"/>
    </w:p>
    <w:p w14:paraId="52554401" w14:textId="77777777" w:rsidR="00635666" w:rsidRDefault="00684FD3" w:rsidP="009415F9">
      <w:pPr>
        <w:pStyle w:val="Heading2"/>
        <w:spacing w:line="360" w:lineRule="auto"/>
        <w:rPr>
          <w:rFonts w:ascii="Rockwell" w:hAnsi="Rockwell"/>
        </w:rPr>
      </w:pPr>
      <w:bookmarkStart w:id="21" w:name="_Toc78045090"/>
      <w:r w:rsidRPr="00684FD3">
        <w:rPr>
          <w:rFonts w:ascii="Rockwell" w:hAnsi="Rockwell"/>
        </w:rPr>
        <w:t xml:space="preserve">5.1 </w:t>
      </w:r>
      <w:r w:rsidR="00EB1B40">
        <w:rPr>
          <w:rFonts w:ascii="Rockwell" w:hAnsi="Rockwell"/>
        </w:rPr>
        <w:t>Initial</w:t>
      </w:r>
      <w:r w:rsidR="00EB5698">
        <w:rPr>
          <w:rFonts w:ascii="Rockwell" w:hAnsi="Rockwell"/>
        </w:rPr>
        <w:t xml:space="preserve"> </w:t>
      </w:r>
      <w:r w:rsidRPr="00684FD3">
        <w:rPr>
          <w:rFonts w:ascii="Rockwell" w:hAnsi="Rockwell"/>
        </w:rPr>
        <w:t>Regression</w:t>
      </w:r>
      <w:bookmarkEnd w:id="21"/>
      <w:r w:rsidRPr="00684FD3">
        <w:rPr>
          <w:rFonts w:ascii="Rockwell" w:hAnsi="Rockwell"/>
        </w:rPr>
        <w:t xml:space="preserve"> </w:t>
      </w:r>
    </w:p>
    <w:p w14:paraId="2C1EACB6" w14:textId="73B2178B" w:rsidR="000C31C2" w:rsidRDefault="000C31C2" w:rsidP="001A2B54">
      <w:pPr>
        <w:spacing w:line="360" w:lineRule="auto"/>
        <w:ind w:firstLine="720"/>
      </w:pPr>
      <w:r w:rsidRPr="000C31C2">
        <w:rPr>
          <w:i/>
        </w:rPr>
        <w:t>Table 1</w:t>
      </w:r>
      <w:r>
        <w:t xml:space="preserve"> </w:t>
      </w:r>
      <w:r w:rsidR="008B4805">
        <w:t xml:space="preserve">below </w:t>
      </w:r>
      <w:r>
        <w:t>displays the model fit from running the initial OLS regression. The overall R</w:t>
      </w:r>
      <w:r>
        <w:rPr>
          <w:vertAlign w:val="superscript"/>
        </w:rPr>
        <w:t>2</w:t>
      </w:r>
      <w:r>
        <w:t xml:space="preserve"> value of the model is 0.7154. This indicates that the regression model and the predictor variables are able to explain 71.54% of the variation in the response variable. Ideally, an R</w:t>
      </w:r>
      <w:r>
        <w:rPr>
          <w:vertAlign w:val="superscript"/>
        </w:rPr>
        <w:t>2</w:t>
      </w:r>
      <w:r>
        <w:t xml:space="preserve"> value </w:t>
      </w:r>
      <w:r w:rsidRPr="00500906">
        <w:t>≥</w:t>
      </w:r>
      <w:r>
        <w:t xml:space="preserve"> 0.5 is desired for the model to be considered </w:t>
      </w:r>
      <w:r>
        <w:rPr>
          <w:color w:val="000000" w:themeColor="text1"/>
        </w:rPr>
        <w:t xml:space="preserve">successful in explaining the relationship between the dependent and independent variables. </w:t>
      </w:r>
      <w:r>
        <w:t>The adjusted R</w:t>
      </w:r>
      <w:r>
        <w:rPr>
          <w:vertAlign w:val="superscript"/>
        </w:rPr>
        <w:t>2</w:t>
      </w:r>
      <w:r>
        <w:t xml:space="preserve"> value of the model is 0.6412. </w:t>
      </w:r>
      <w:r w:rsidR="007013B6">
        <w:t xml:space="preserve">The Residual Sum of Squares (RSS) value is </w:t>
      </w:r>
      <w:r w:rsidR="0046506F">
        <w:t xml:space="preserve">5565.4092, which is considered high. This signals that there is a high degree of variation in the dataset. Ideally, a lower RSS value is desired. </w:t>
      </w:r>
    </w:p>
    <w:p w14:paraId="123E377E" w14:textId="77777777" w:rsidR="008B4805" w:rsidRPr="008B4805" w:rsidRDefault="008B4805" w:rsidP="008B4805">
      <w:pPr>
        <w:spacing w:line="360" w:lineRule="auto"/>
        <w:rPr>
          <w:sz w:val="15"/>
        </w:rPr>
      </w:pPr>
    </w:p>
    <w:p w14:paraId="2FD48D7F" w14:textId="77777777" w:rsidR="005145CE" w:rsidRPr="005145CE" w:rsidRDefault="005145CE" w:rsidP="0046506F">
      <w:pPr>
        <w:pStyle w:val="Heading3"/>
        <w:ind w:left="2160"/>
        <w:rPr>
          <w:rFonts w:ascii="Times New Roman" w:hAnsi="Times New Roman" w:cs="Times New Roman"/>
          <w:i/>
          <w:color w:val="4472C4" w:themeColor="accent1"/>
        </w:rPr>
      </w:pPr>
      <w:bookmarkStart w:id="22" w:name="_Toc78045091"/>
      <w:r w:rsidRPr="006B1441">
        <w:rPr>
          <w:rFonts w:ascii="Times New Roman" w:hAnsi="Times New Roman" w:cs="Times New Roman"/>
          <w:i/>
          <w:color w:val="4472C4" w:themeColor="accent1"/>
        </w:rPr>
        <w:t xml:space="preserve">Table </w:t>
      </w:r>
      <w:r w:rsidRPr="006B1441">
        <w:rPr>
          <w:rFonts w:ascii="Times New Roman" w:hAnsi="Times New Roman" w:cs="Times New Roman"/>
          <w:i/>
          <w:color w:val="4472C4" w:themeColor="accent1"/>
        </w:rPr>
        <w:fldChar w:fldCharType="begin"/>
      </w:r>
      <w:r w:rsidRPr="006B1441">
        <w:rPr>
          <w:rFonts w:ascii="Times New Roman" w:hAnsi="Times New Roman" w:cs="Times New Roman"/>
          <w:i/>
          <w:color w:val="4472C4" w:themeColor="accent1"/>
        </w:rPr>
        <w:instrText xml:space="preserve"> SEQ Table \* ARABIC </w:instrText>
      </w:r>
      <w:r w:rsidRPr="006B1441">
        <w:rPr>
          <w:rFonts w:ascii="Times New Roman" w:hAnsi="Times New Roman" w:cs="Times New Roman"/>
          <w:i/>
          <w:color w:val="4472C4" w:themeColor="accent1"/>
        </w:rPr>
        <w:fldChar w:fldCharType="separate"/>
      </w:r>
      <w:r w:rsidRPr="006B1441">
        <w:rPr>
          <w:rFonts w:ascii="Times New Roman" w:hAnsi="Times New Roman" w:cs="Times New Roman"/>
          <w:i/>
          <w:noProof/>
          <w:color w:val="4472C4" w:themeColor="accent1"/>
        </w:rPr>
        <w:t>1</w:t>
      </w:r>
      <w:r w:rsidRPr="006B1441">
        <w:rPr>
          <w:rFonts w:ascii="Times New Roman" w:hAnsi="Times New Roman" w:cs="Times New Roman"/>
          <w:i/>
          <w:color w:val="4472C4" w:themeColor="accent1"/>
        </w:rPr>
        <w:fldChar w:fldCharType="end"/>
      </w:r>
      <w:r w:rsidRPr="006B1441">
        <w:rPr>
          <w:rFonts w:ascii="Times New Roman" w:hAnsi="Times New Roman" w:cs="Times New Roman"/>
          <w:i/>
          <w:color w:val="4472C4" w:themeColor="accent1"/>
        </w:rPr>
        <w:t xml:space="preserve">. </w:t>
      </w:r>
      <w:r>
        <w:rPr>
          <w:rFonts w:ascii="Times New Roman" w:hAnsi="Times New Roman" w:cs="Times New Roman"/>
          <w:i/>
          <w:color w:val="4472C4" w:themeColor="accent1"/>
        </w:rPr>
        <w:t>Initial Regression</w:t>
      </w:r>
      <w:r w:rsidRPr="006B1441">
        <w:rPr>
          <w:rFonts w:ascii="Times New Roman" w:hAnsi="Times New Roman" w:cs="Times New Roman"/>
          <w:i/>
          <w:color w:val="4472C4" w:themeColor="accent1"/>
        </w:rPr>
        <w:t xml:space="preserve"> </w:t>
      </w:r>
      <w:r>
        <w:rPr>
          <w:rFonts w:ascii="Times New Roman" w:hAnsi="Times New Roman" w:cs="Times New Roman"/>
          <w:i/>
          <w:color w:val="4472C4" w:themeColor="accent1"/>
        </w:rPr>
        <w:t>Model Fit</w:t>
      </w:r>
      <w:bookmarkEnd w:id="22"/>
    </w:p>
    <w:tbl>
      <w:tblPr>
        <w:tblStyle w:val="TableGrid"/>
        <w:tblW w:w="0" w:type="auto"/>
        <w:tblInd w:w="2160" w:type="dxa"/>
        <w:tblLook w:val="04A0" w:firstRow="1" w:lastRow="0" w:firstColumn="1" w:lastColumn="0" w:noHBand="0" w:noVBand="1"/>
      </w:tblPr>
      <w:tblGrid>
        <w:gridCol w:w="1383"/>
        <w:gridCol w:w="2658"/>
      </w:tblGrid>
      <w:tr w:rsidR="00A142DD" w14:paraId="5C9C0C56" w14:textId="77777777" w:rsidTr="0046506F">
        <w:trPr>
          <w:trHeight w:val="476"/>
        </w:trPr>
        <w:tc>
          <w:tcPr>
            <w:tcW w:w="4041" w:type="dxa"/>
            <w:gridSpan w:val="2"/>
            <w:shd w:val="clear" w:color="auto" w:fill="DEEAF6" w:themeFill="accent5" w:themeFillTint="33"/>
            <w:vAlign w:val="center"/>
          </w:tcPr>
          <w:p w14:paraId="084510A4" w14:textId="77777777" w:rsidR="00A142DD" w:rsidRPr="00A142DD" w:rsidRDefault="00EB1B40" w:rsidP="004938DC">
            <w:pPr>
              <w:jc w:val="center"/>
              <w:rPr>
                <w:rFonts w:ascii="Rockwell" w:hAnsi="Rockwell"/>
                <w:color w:val="2F5496" w:themeColor="accent1" w:themeShade="BF"/>
              </w:rPr>
            </w:pPr>
            <w:r>
              <w:rPr>
                <w:rFonts w:ascii="Rockwell" w:hAnsi="Rockwell"/>
                <w:color w:val="2F5496" w:themeColor="accent1" w:themeShade="BF"/>
              </w:rPr>
              <w:t>Initial</w:t>
            </w:r>
            <w:r w:rsidR="00A142DD" w:rsidRPr="00A142DD">
              <w:rPr>
                <w:rFonts w:ascii="Rockwell" w:hAnsi="Rockwell"/>
                <w:color w:val="2F5496" w:themeColor="accent1" w:themeShade="BF"/>
              </w:rPr>
              <w:t xml:space="preserve"> Regression </w:t>
            </w:r>
            <w:r w:rsidR="005145CE">
              <w:rPr>
                <w:rFonts w:ascii="Rockwell" w:hAnsi="Rockwell"/>
                <w:color w:val="2F5496" w:themeColor="accent1" w:themeShade="BF"/>
              </w:rPr>
              <w:t>Model Fit</w:t>
            </w:r>
          </w:p>
        </w:tc>
      </w:tr>
      <w:tr w:rsidR="00EB1B40" w14:paraId="6825D1E0" w14:textId="77777777" w:rsidTr="0046506F">
        <w:tc>
          <w:tcPr>
            <w:tcW w:w="0" w:type="auto"/>
          </w:tcPr>
          <w:p w14:paraId="69923840" w14:textId="77777777" w:rsidR="00A142DD" w:rsidRDefault="00A142DD" w:rsidP="00A142DD">
            <w:r>
              <w:t>R</w:t>
            </w:r>
            <w:r>
              <w:rPr>
                <w:vertAlign w:val="superscript"/>
              </w:rPr>
              <w:t>2</w:t>
            </w:r>
          </w:p>
        </w:tc>
        <w:tc>
          <w:tcPr>
            <w:tcW w:w="2658" w:type="dxa"/>
            <w:vAlign w:val="center"/>
          </w:tcPr>
          <w:p w14:paraId="2984D681" w14:textId="3AC411C3" w:rsidR="00A142DD" w:rsidRDefault="00A142DD" w:rsidP="004938DC">
            <w:pPr>
              <w:jc w:val="right"/>
            </w:pPr>
            <w:r>
              <w:t>0.7154</w:t>
            </w:r>
          </w:p>
        </w:tc>
      </w:tr>
      <w:tr w:rsidR="00EB1B40" w14:paraId="6B7B5286" w14:textId="77777777" w:rsidTr="0046506F">
        <w:tc>
          <w:tcPr>
            <w:tcW w:w="0" w:type="auto"/>
          </w:tcPr>
          <w:p w14:paraId="0DF1755D" w14:textId="77777777" w:rsidR="00A142DD" w:rsidRDefault="00A142DD" w:rsidP="00A142DD">
            <w:r>
              <w:t>Adjusted R</w:t>
            </w:r>
            <w:r>
              <w:rPr>
                <w:vertAlign w:val="superscript"/>
              </w:rPr>
              <w:t>2</w:t>
            </w:r>
          </w:p>
        </w:tc>
        <w:tc>
          <w:tcPr>
            <w:tcW w:w="2658" w:type="dxa"/>
            <w:vAlign w:val="center"/>
          </w:tcPr>
          <w:p w14:paraId="03303559" w14:textId="0A42ABC3" w:rsidR="00A142DD" w:rsidRDefault="00EB1B40" w:rsidP="004938DC">
            <w:pPr>
              <w:jc w:val="right"/>
            </w:pPr>
            <w:r>
              <w:t>0.6412</w:t>
            </w:r>
          </w:p>
        </w:tc>
      </w:tr>
      <w:tr w:rsidR="00EB1B40" w14:paraId="75CB26E6" w14:textId="77777777" w:rsidTr="0046506F">
        <w:tc>
          <w:tcPr>
            <w:tcW w:w="0" w:type="auto"/>
          </w:tcPr>
          <w:p w14:paraId="7519CB8D" w14:textId="77777777" w:rsidR="00A142DD" w:rsidRDefault="00EB1B40" w:rsidP="00A142DD">
            <w:r>
              <w:t>RSS</w:t>
            </w:r>
          </w:p>
        </w:tc>
        <w:tc>
          <w:tcPr>
            <w:tcW w:w="2658" w:type="dxa"/>
            <w:vAlign w:val="center"/>
          </w:tcPr>
          <w:p w14:paraId="79A2CE24" w14:textId="77777777" w:rsidR="00A142DD" w:rsidRDefault="00EB1B40" w:rsidP="004938DC">
            <w:pPr>
              <w:jc w:val="right"/>
            </w:pPr>
            <w:r>
              <w:t>5565.4092</w:t>
            </w:r>
          </w:p>
        </w:tc>
      </w:tr>
      <w:tr w:rsidR="000C31C2" w14:paraId="1301B69E" w14:textId="77777777" w:rsidTr="0046506F">
        <w:tc>
          <w:tcPr>
            <w:tcW w:w="0" w:type="auto"/>
          </w:tcPr>
          <w:p w14:paraId="0DA02E15" w14:textId="77777777" w:rsidR="000C31C2" w:rsidRDefault="000C31C2" w:rsidP="00A142DD">
            <w:r>
              <w:t>F</w:t>
            </w:r>
          </w:p>
        </w:tc>
        <w:tc>
          <w:tcPr>
            <w:tcW w:w="2658" w:type="dxa"/>
            <w:vAlign w:val="center"/>
          </w:tcPr>
          <w:p w14:paraId="55149E17" w14:textId="77777777" w:rsidR="000C31C2" w:rsidRDefault="000C31C2" w:rsidP="004938DC">
            <w:pPr>
              <w:jc w:val="right"/>
            </w:pPr>
            <w:r>
              <w:t>9.638 [0.000]**</w:t>
            </w:r>
          </w:p>
        </w:tc>
      </w:tr>
    </w:tbl>
    <w:p w14:paraId="43C79235" w14:textId="3393162B" w:rsidR="00EB1B40" w:rsidRDefault="000C31C2" w:rsidP="0046506F">
      <w:pPr>
        <w:spacing w:line="360" w:lineRule="auto"/>
        <w:ind w:left="2160"/>
        <w:rPr>
          <w:i/>
          <w:sz w:val="21"/>
        </w:rPr>
      </w:pPr>
      <w:r w:rsidRPr="00701123">
        <w:rPr>
          <w:i/>
          <w:sz w:val="21"/>
        </w:rPr>
        <w:t xml:space="preserve">Note: ** indicate significance at </w:t>
      </w:r>
      <w:r w:rsidRPr="00701123">
        <w:rPr>
          <w:i/>
          <w:color w:val="000000" w:themeColor="text1"/>
          <w:sz w:val="21"/>
        </w:rPr>
        <w:t>α=</w:t>
      </w:r>
      <w:r w:rsidRPr="00701123">
        <w:rPr>
          <w:i/>
          <w:sz w:val="21"/>
        </w:rPr>
        <w:t>0.</w:t>
      </w:r>
      <w:r w:rsidR="00701123" w:rsidRPr="00701123">
        <w:rPr>
          <w:i/>
          <w:sz w:val="21"/>
        </w:rPr>
        <w:t>01</w:t>
      </w:r>
      <w:r w:rsidRPr="00701123">
        <w:rPr>
          <w:i/>
          <w:sz w:val="21"/>
        </w:rPr>
        <w:t xml:space="preserve">  </w:t>
      </w:r>
    </w:p>
    <w:p w14:paraId="2CC6372E" w14:textId="77777777" w:rsidR="0046506F" w:rsidRPr="008B4805" w:rsidRDefault="0046506F" w:rsidP="0046506F">
      <w:pPr>
        <w:spacing w:line="360" w:lineRule="auto"/>
        <w:ind w:left="2160"/>
        <w:rPr>
          <w:i/>
          <w:sz w:val="18"/>
        </w:rPr>
      </w:pPr>
    </w:p>
    <w:p w14:paraId="5A40C7AE" w14:textId="76508A85" w:rsidR="009415F9" w:rsidRDefault="008C4429" w:rsidP="000C31C2">
      <w:pPr>
        <w:spacing w:line="360" w:lineRule="auto"/>
        <w:ind w:firstLine="720"/>
        <w:rPr>
          <w:color w:val="000000" w:themeColor="text1"/>
        </w:rPr>
      </w:pPr>
      <w:r w:rsidRPr="008C4429">
        <w:rPr>
          <w:color w:val="000000" w:themeColor="text1"/>
        </w:rPr>
        <w:t xml:space="preserve">The reported F-test statistic of the regression is </w:t>
      </w:r>
      <w:r>
        <w:rPr>
          <w:color w:val="000000" w:themeColor="text1"/>
        </w:rPr>
        <w:t>9.638</w:t>
      </w:r>
      <w:r w:rsidRPr="008C4429">
        <w:rPr>
          <w:color w:val="000000" w:themeColor="text1"/>
        </w:rPr>
        <w:t xml:space="preserve"> with a p-value of 0.0</w:t>
      </w:r>
      <w:r>
        <w:rPr>
          <w:color w:val="000000" w:themeColor="text1"/>
        </w:rPr>
        <w:t>00</w:t>
      </w:r>
      <w:r w:rsidR="007013B6">
        <w:rPr>
          <w:color w:val="000000" w:themeColor="text1"/>
        </w:rPr>
        <w:t xml:space="preserve">, as shown in </w:t>
      </w:r>
      <w:r w:rsidR="007013B6">
        <w:rPr>
          <w:i/>
          <w:color w:val="000000" w:themeColor="text1"/>
        </w:rPr>
        <w:t xml:space="preserve">Table 1 </w:t>
      </w:r>
      <w:r w:rsidR="007013B6">
        <w:rPr>
          <w:color w:val="000000" w:themeColor="text1"/>
        </w:rPr>
        <w:t>above</w:t>
      </w:r>
      <w:r w:rsidR="000C31C2">
        <w:rPr>
          <w:color w:val="000000" w:themeColor="text1"/>
        </w:rPr>
        <w:t xml:space="preserve">. </w:t>
      </w:r>
      <w:r w:rsidRPr="008C4429">
        <w:rPr>
          <w:color w:val="000000" w:themeColor="text1"/>
        </w:rPr>
        <w:t xml:space="preserve">When comparing the p-value of </w:t>
      </w:r>
      <w:r w:rsidR="00CE19E8">
        <w:rPr>
          <w:color w:val="000000" w:themeColor="text1"/>
        </w:rPr>
        <w:t>the</w:t>
      </w:r>
      <w:r w:rsidRPr="008C4429">
        <w:rPr>
          <w:color w:val="000000" w:themeColor="text1"/>
        </w:rPr>
        <w:t xml:space="preserve"> F-test statistic to </w:t>
      </w:r>
      <w:r w:rsidR="00CE19E8">
        <w:rPr>
          <w:color w:val="000000" w:themeColor="text1"/>
        </w:rPr>
        <w:t xml:space="preserve">the </w:t>
      </w:r>
      <w:r w:rsidRPr="008C4429">
        <w:rPr>
          <w:color w:val="000000" w:themeColor="text1"/>
        </w:rPr>
        <w:t xml:space="preserve">significance level </w:t>
      </w:r>
      <w:r w:rsidR="001A2B54">
        <w:rPr>
          <w:color w:val="000000" w:themeColor="text1"/>
        </w:rPr>
        <w:t xml:space="preserve">indicated in the table: </w:t>
      </w:r>
      <w:r w:rsidRPr="008C4429">
        <w:rPr>
          <w:color w:val="000000" w:themeColor="text1"/>
        </w:rPr>
        <w:t>0.0</w:t>
      </w:r>
      <w:r w:rsidR="00CE19E8">
        <w:rPr>
          <w:color w:val="000000" w:themeColor="text1"/>
        </w:rPr>
        <w:t xml:space="preserve">00 </w:t>
      </w:r>
      <w:r w:rsidRPr="008C4429">
        <w:rPr>
          <w:color w:val="000000" w:themeColor="text1"/>
        </w:rPr>
        <w:t>&lt;</w:t>
      </w:r>
      <w:r w:rsidR="00CE19E8">
        <w:rPr>
          <w:color w:val="000000" w:themeColor="text1"/>
        </w:rPr>
        <w:t xml:space="preserve"> 0</w:t>
      </w:r>
      <w:r w:rsidRPr="008C4429">
        <w:rPr>
          <w:color w:val="000000" w:themeColor="text1"/>
        </w:rPr>
        <w:t>.</w:t>
      </w:r>
      <w:r w:rsidR="00CE19E8">
        <w:rPr>
          <w:color w:val="000000" w:themeColor="text1"/>
        </w:rPr>
        <w:t>0</w:t>
      </w:r>
      <w:r w:rsidR="00CC42D9">
        <w:rPr>
          <w:color w:val="000000" w:themeColor="text1"/>
        </w:rPr>
        <w:t>1</w:t>
      </w:r>
      <w:r w:rsidR="00CE19E8">
        <w:rPr>
          <w:color w:val="000000" w:themeColor="text1"/>
        </w:rPr>
        <w:t>. As a result,</w:t>
      </w:r>
      <w:r w:rsidRPr="008C4429">
        <w:rPr>
          <w:color w:val="000000" w:themeColor="text1"/>
        </w:rPr>
        <w:t xml:space="preserve"> the null hypothesis for the F-test of no joint significance of the parameters (H0 : β1 = β2 = β3 =</w:t>
      </w:r>
      <w:r w:rsidR="00CE19E8" w:rsidRPr="00CE19E8">
        <w:rPr>
          <w:color w:val="000000" w:themeColor="text1"/>
        </w:rPr>
        <w:t xml:space="preserve"> </w:t>
      </w:r>
      <w:r w:rsidR="00CE19E8" w:rsidRPr="008C4429">
        <w:rPr>
          <w:color w:val="000000" w:themeColor="text1"/>
        </w:rPr>
        <w:t>β</w:t>
      </w:r>
      <w:r w:rsidR="00CE19E8">
        <w:rPr>
          <w:color w:val="000000" w:themeColor="text1"/>
        </w:rPr>
        <w:t>4</w:t>
      </w:r>
      <w:r w:rsidR="00CE19E8" w:rsidRPr="008C4429">
        <w:rPr>
          <w:color w:val="000000" w:themeColor="text1"/>
        </w:rPr>
        <w:t xml:space="preserve"> = β</w:t>
      </w:r>
      <w:r w:rsidR="00CE19E8">
        <w:rPr>
          <w:color w:val="000000" w:themeColor="text1"/>
        </w:rPr>
        <w:t>5</w:t>
      </w:r>
      <w:r w:rsidR="00CE19E8" w:rsidRPr="008C4429">
        <w:rPr>
          <w:color w:val="000000" w:themeColor="text1"/>
        </w:rPr>
        <w:t xml:space="preserve"> = β</w:t>
      </w:r>
      <w:r w:rsidR="00CE19E8">
        <w:rPr>
          <w:color w:val="000000" w:themeColor="text1"/>
        </w:rPr>
        <w:t>6</w:t>
      </w:r>
      <w:r w:rsidR="00CE19E8" w:rsidRPr="008C4429">
        <w:rPr>
          <w:color w:val="000000" w:themeColor="text1"/>
        </w:rPr>
        <w:t xml:space="preserve"> =</w:t>
      </w:r>
      <w:r w:rsidRPr="008C4429">
        <w:rPr>
          <w:color w:val="000000" w:themeColor="text1"/>
        </w:rPr>
        <w:t xml:space="preserve"> 0)</w:t>
      </w:r>
      <w:r w:rsidR="00CE19E8">
        <w:rPr>
          <w:color w:val="000000" w:themeColor="text1"/>
        </w:rPr>
        <w:t xml:space="preserve"> is rejected.</w:t>
      </w:r>
      <w:r w:rsidRPr="008C4429">
        <w:rPr>
          <w:color w:val="000000" w:themeColor="text1"/>
        </w:rPr>
        <w:t xml:space="preserve"> </w:t>
      </w:r>
      <w:r w:rsidR="00CE19E8">
        <w:rPr>
          <w:color w:val="000000" w:themeColor="text1"/>
        </w:rPr>
        <w:t xml:space="preserve">This indicates that the regression model is </w:t>
      </w:r>
      <w:r w:rsidRPr="008C4429">
        <w:rPr>
          <w:color w:val="000000" w:themeColor="text1"/>
        </w:rPr>
        <w:t xml:space="preserve">considered statistically significant at the </w:t>
      </w:r>
      <w:r w:rsidR="00701123">
        <w:rPr>
          <w:color w:val="000000" w:themeColor="text1"/>
        </w:rPr>
        <w:t>1</w:t>
      </w:r>
      <w:r w:rsidRPr="008C4429">
        <w:rPr>
          <w:color w:val="000000" w:themeColor="text1"/>
        </w:rPr>
        <w:t>% significance level</w:t>
      </w:r>
      <w:r w:rsidR="00CE19E8">
        <w:rPr>
          <w:color w:val="000000" w:themeColor="text1"/>
        </w:rPr>
        <w:t xml:space="preserve">. This </w:t>
      </w:r>
      <w:r w:rsidR="00CE19E8">
        <w:rPr>
          <w:color w:val="000000" w:themeColor="text1"/>
        </w:rPr>
        <w:lastRenderedPageBreak/>
        <w:t xml:space="preserve">allows for the conclusion </w:t>
      </w:r>
      <w:r w:rsidRPr="008C4429">
        <w:rPr>
          <w:color w:val="000000" w:themeColor="text1"/>
        </w:rPr>
        <w:t xml:space="preserve">that one of </w:t>
      </w:r>
      <w:r w:rsidR="00CE19E8">
        <w:rPr>
          <w:color w:val="000000" w:themeColor="text1"/>
        </w:rPr>
        <w:t>the</w:t>
      </w:r>
      <w:r w:rsidRPr="008C4429">
        <w:rPr>
          <w:color w:val="000000" w:themeColor="text1"/>
        </w:rPr>
        <w:t xml:space="preserve"> independent variables</w:t>
      </w:r>
      <w:r w:rsidR="00CE19E8">
        <w:rPr>
          <w:color w:val="000000" w:themeColor="text1"/>
        </w:rPr>
        <w:t xml:space="preserve"> in the model</w:t>
      </w:r>
      <w:r w:rsidRPr="008C4429">
        <w:rPr>
          <w:color w:val="000000" w:themeColor="text1"/>
        </w:rPr>
        <w:t xml:space="preserve"> has a statistically significant impact on </w:t>
      </w:r>
      <w:r w:rsidR="00CE19E8">
        <w:rPr>
          <w:color w:val="000000" w:themeColor="text1"/>
        </w:rPr>
        <w:t>the</w:t>
      </w:r>
      <w:r w:rsidRPr="008C4429">
        <w:rPr>
          <w:color w:val="000000" w:themeColor="text1"/>
        </w:rPr>
        <w:t xml:space="preserve"> dependent variable</w:t>
      </w:r>
      <w:r w:rsidR="00CE19E8">
        <w:rPr>
          <w:color w:val="000000" w:themeColor="text1"/>
        </w:rPr>
        <w:t xml:space="preserve">. </w:t>
      </w:r>
    </w:p>
    <w:p w14:paraId="25E06788" w14:textId="77777777" w:rsidR="001A2B54" w:rsidRDefault="001A2B54" w:rsidP="000C31C2">
      <w:pPr>
        <w:spacing w:line="360" w:lineRule="auto"/>
        <w:ind w:firstLine="720"/>
      </w:pPr>
    </w:p>
    <w:p w14:paraId="0051EADC" w14:textId="026F6BF6" w:rsidR="00155C32" w:rsidRDefault="00155C32" w:rsidP="00155C32">
      <w:pPr>
        <w:spacing w:line="360" w:lineRule="auto"/>
        <w:ind w:firstLine="720"/>
        <w:rPr>
          <w:color w:val="000000" w:themeColor="text1"/>
        </w:rPr>
      </w:pPr>
      <w:r>
        <w:rPr>
          <w:color w:val="000000" w:themeColor="text1"/>
        </w:rPr>
        <w:t xml:space="preserve">The hypothesis </w:t>
      </w:r>
      <w:r w:rsidR="001A2B54">
        <w:rPr>
          <w:color w:val="000000" w:themeColor="text1"/>
        </w:rPr>
        <w:t>test</w:t>
      </w:r>
      <w:r>
        <w:rPr>
          <w:color w:val="000000" w:themeColor="text1"/>
        </w:rPr>
        <w:t xml:space="preserve"> of this study determined if the security-enhancing dimensions of the land administration system are useful in predicting credit market access, represented by the dependent variable</w:t>
      </w:r>
      <w:r w:rsidR="001A2B54">
        <w:rPr>
          <w:color w:val="000000" w:themeColor="text1"/>
        </w:rPr>
        <w:t>,</w:t>
      </w:r>
      <w:r>
        <w:rPr>
          <w:color w:val="000000" w:themeColor="text1"/>
        </w:rPr>
        <w:t xml:space="preserve"> </w:t>
      </w:r>
      <w:r w:rsidR="001A2B54">
        <w:rPr>
          <w:i/>
          <w:color w:val="000000" w:themeColor="text1"/>
        </w:rPr>
        <w:t xml:space="preserve">Public </w:t>
      </w:r>
      <w:r w:rsidRPr="00D506F9">
        <w:rPr>
          <w:i/>
          <w:color w:val="000000" w:themeColor="text1"/>
        </w:rPr>
        <w:t>Credit Registry Coverage</w:t>
      </w:r>
      <w:r>
        <w:rPr>
          <w:color w:val="000000" w:themeColor="text1"/>
        </w:rPr>
        <w:t xml:space="preserve">. By passing the F-test, it may be concluded that these dimensions are </w:t>
      </w:r>
      <w:r w:rsidR="001A2B54">
        <w:rPr>
          <w:color w:val="000000" w:themeColor="text1"/>
        </w:rPr>
        <w:t xml:space="preserve">indeed </w:t>
      </w:r>
      <w:r>
        <w:rPr>
          <w:color w:val="000000" w:themeColor="text1"/>
        </w:rPr>
        <w:t xml:space="preserve">useful to determine the resulting credit coverage. </w:t>
      </w:r>
      <w:r w:rsidR="001A2B54">
        <w:rPr>
          <w:color w:val="000000" w:themeColor="text1"/>
        </w:rPr>
        <w:t>However, the</w:t>
      </w:r>
      <w:r>
        <w:rPr>
          <w:color w:val="000000" w:themeColor="text1"/>
        </w:rPr>
        <w:t xml:space="preserve"> </w:t>
      </w:r>
      <w:r w:rsidR="001A2B54">
        <w:rPr>
          <w:color w:val="000000" w:themeColor="text1"/>
        </w:rPr>
        <w:t>intent</w:t>
      </w:r>
      <w:r>
        <w:rPr>
          <w:color w:val="000000" w:themeColor="text1"/>
        </w:rPr>
        <w:t xml:space="preserve"> of this paper was</w:t>
      </w:r>
      <w:r w:rsidR="001A2B54">
        <w:rPr>
          <w:color w:val="000000" w:themeColor="text1"/>
        </w:rPr>
        <w:t xml:space="preserve"> also</w:t>
      </w:r>
      <w:r>
        <w:rPr>
          <w:color w:val="000000" w:themeColor="text1"/>
        </w:rPr>
        <w:t xml:space="preserve"> to take this understanding a step further and determine which of the predictor variables is the most statistically significant in its relationship with the dependent variable. This can be determined by comparing the associated </w:t>
      </w:r>
      <w:r w:rsidR="001A2B54">
        <w:rPr>
          <w:color w:val="000000" w:themeColor="text1"/>
        </w:rPr>
        <w:t>probability values (</w:t>
      </w:r>
      <w:r>
        <w:rPr>
          <w:color w:val="000000" w:themeColor="text1"/>
        </w:rPr>
        <w:t>p-values</w:t>
      </w:r>
      <w:r w:rsidR="001A2B54">
        <w:rPr>
          <w:color w:val="000000" w:themeColor="text1"/>
        </w:rPr>
        <w:t>)</w:t>
      </w:r>
      <w:r>
        <w:rPr>
          <w:color w:val="000000" w:themeColor="text1"/>
        </w:rPr>
        <w:t xml:space="preserve"> for each variable. </w:t>
      </w:r>
      <w:r w:rsidR="001A2B54">
        <w:t xml:space="preserve">The information contained in </w:t>
      </w:r>
      <w:r w:rsidR="001A2B54">
        <w:rPr>
          <w:i/>
        </w:rPr>
        <w:t xml:space="preserve">Table 2 </w:t>
      </w:r>
      <w:r w:rsidR="001A2B54">
        <w:t>below</w:t>
      </w:r>
      <w:r w:rsidR="001A2B54">
        <w:rPr>
          <w:i/>
        </w:rPr>
        <w:t xml:space="preserve"> </w:t>
      </w:r>
      <w:r w:rsidR="001A2B54">
        <w:t>provides greater detail on each of the independent variables, including their associated p-values.</w:t>
      </w:r>
    </w:p>
    <w:p w14:paraId="73CF2CEC" w14:textId="77777777" w:rsidR="0046506F" w:rsidRPr="008B4805" w:rsidRDefault="0046506F" w:rsidP="0046506F">
      <w:pPr>
        <w:pStyle w:val="Heading3"/>
        <w:ind w:left="720"/>
        <w:rPr>
          <w:rFonts w:ascii="Times New Roman" w:hAnsi="Times New Roman" w:cs="Times New Roman"/>
          <w:i/>
          <w:color w:val="4472C4" w:themeColor="accent1"/>
          <w:sz w:val="21"/>
        </w:rPr>
      </w:pPr>
    </w:p>
    <w:p w14:paraId="31886F3F" w14:textId="57E1282D" w:rsidR="009415F9" w:rsidRPr="006B1441" w:rsidRDefault="009415F9" w:rsidP="0046506F">
      <w:pPr>
        <w:pStyle w:val="Heading3"/>
        <w:ind w:left="720"/>
        <w:rPr>
          <w:rFonts w:ascii="Times New Roman" w:hAnsi="Times New Roman" w:cs="Times New Roman"/>
          <w:i/>
          <w:color w:val="4472C4" w:themeColor="accent1"/>
        </w:rPr>
      </w:pPr>
      <w:bookmarkStart w:id="23" w:name="_Toc78045092"/>
      <w:r w:rsidRPr="006B1441">
        <w:rPr>
          <w:rFonts w:ascii="Times New Roman" w:hAnsi="Times New Roman" w:cs="Times New Roman"/>
          <w:i/>
          <w:color w:val="4472C4" w:themeColor="accent1"/>
        </w:rPr>
        <w:t xml:space="preserve">Table </w:t>
      </w:r>
      <w:r w:rsidR="005145CE">
        <w:rPr>
          <w:rFonts w:ascii="Times New Roman" w:hAnsi="Times New Roman" w:cs="Times New Roman"/>
          <w:i/>
          <w:color w:val="4472C4" w:themeColor="accent1"/>
        </w:rPr>
        <w:t>2</w:t>
      </w:r>
      <w:r w:rsidRPr="006B1441">
        <w:rPr>
          <w:rFonts w:ascii="Times New Roman" w:hAnsi="Times New Roman" w:cs="Times New Roman"/>
          <w:i/>
          <w:color w:val="4472C4" w:themeColor="accent1"/>
        </w:rPr>
        <w:t xml:space="preserve">. </w:t>
      </w:r>
      <w:r w:rsidR="00EB1B40">
        <w:rPr>
          <w:rFonts w:ascii="Times New Roman" w:hAnsi="Times New Roman" w:cs="Times New Roman"/>
          <w:i/>
          <w:color w:val="4472C4" w:themeColor="accent1"/>
        </w:rPr>
        <w:t>Initial</w:t>
      </w:r>
      <w:r>
        <w:rPr>
          <w:rFonts w:ascii="Times New Roman" w:hAnsi="Times New Roman" w:cs="Times New Roman"/>
          <w:i/>
          <w:color w:val="4472C4" w:themeColor="accent1"/>
        </w:rPr>
        <w:t xml:space="preserve"> Regression</w:t>
      </w:r>
      <w:r w:rsidRPr="006B1441">
        <w:rPr>
          <w:rFonts w:ascii="Times New Roman" w:hAnsi="Times New Roman" w:cs="Times New Roman"/>
          <w:i/>
          <w:color w:val="4472C4" w:themeColor="accent1"/>
        </w:rPr>
        <w:t xml:space="preserve"> </w:t>
      </w:r>
      <w:r>
        <w:rPr>
          <w:rFonts w:ascii="Times New Roman" w:hAnsi="Times New Roman" w:cs="Times New Roman"/>
          <w:i/>
          <w:color w:val="4472C4" w:themeColor="accent1"/>
        </w:rPr>
        <w:t>Results</w:t>
      </w:r>
      <w:bookmarkEnd w:id="23"/>
    </w:p>
    <w:tbl>
      <w:tblPr>
        <w:tblStyle w:val="TableGrid"/>
        <w:tblW w:w="0" w:type="auto"/>
        <w:tblInd w:w="720" w:type="dxa"/>
        <w:tblLook w:val="04A0" w:firstRow="1" w:lastRow="0" w:firstColumn="1" w:lastColumn="0" w:noHBand="0" w:noVBand="1"/>
      </w:tblPr>
      <w:tblGrid>
        <w:gridCol w:w="3325"/>
        <w:gridCol w:w="1170"/>
        <w:gridCol w:w="1883"/>
        <w:gridCol w:w="974"/>
        <w:gridCol w:w="1052"/>
      </w:tblGrid>
      <w:tr w:rsidR="009415F9" w:rsidRPr="00CB7272" w14:paraId="4ABBAD00" w14:textId="77777777" w:rsidTr="0046506F">
        <w:trPr>
          <w:trHeight w:val="512"/>
        </w:trPr>
        <w:tc>
          <w:tcPr>
            <w:tcW w:w="3325" w:type="dxa"/>
            <w:shd w:val="clear" w:color="auto" w:fill="DEEAF6" w:themeFill="accent5" w:themeFillTint="33"/>
            <w:vAlign w:val="center"/>
          </w:tcPr>
          <w:p w14:paraId="5A208C44" w14:textId="77777777" w:rsidR="009415F9" w:rsidRPr="00CB7272" w:rsidRDefault="009415F9" w:rsidP="00A142DD">
            <w:pPr>
              <w:spacing w:line="276" w:lineRule="auto"/>
              <w:jc w:val="center"/>
              <w:rPr>
                <w:rFonts w:ascii="Rockwell" w:hAnsi="Rockwell"/>
                <w:color w:val="2F5496" w:themeColor="accent1" w:themeShade="BF"/>
              </w:rPr>
            </w:pPr>
            <w:r w:rsidRPr="00CB7272">
              <w:rPr>
                <w:rFonts w:ascii="Rockwell" w:hAnsi="Rockwell"/>
                <w:color w:val="2F5496" w:themeColor="accent1" w:themeShade="BF"/>
              </w:rPr>
              <w:t>Term</w:t>
            </w:r>
          </w:p>
        </w:tc>
        <w:tc>
          <w:tcPr>
            <w:tcW w:w="1170" w:type="dxa"/>
            <w:shd w:val="clear" w:color="auto" w:fill="DEEAF6" w:themeFill="accent5" w:themeFillTint="33"/>
            <w:vAlign w:val="center"/>
          </w:tcPr>
          <w:p w14:paraId="2DB1F860" w14:textId="77777777" w:rsidR="009415F9" w:rsidRPr="00CB7272" w:rsidRDefault="009415F9" w:rsidP="00A142DD">
            <w:pPr>
              <w:spacing w:line="276" w:lineRule="auto"/>
              <w:jc w:val="center"/>
              <w:rPr>
                <w:rFonts w:ascii="Rockwell" w:hAnsi="Rockwell"/>
                <w:color w:val="2F5496" w:themeColor="accent1" w:themeShade="BF"/>
              </w:rPr>
            </w:pPr>
            <w:r w:rsidRPr="00CB7272">
              <w:rPr>
                <w:rFonts w:ascii="Rockwell" w:hAnsi="Rockwell"/>
                <w:color w:val="2F5496" w:themeColor="accent1" w:themeShade="BF"/>
              </w:rPr>
              <w:t>Estimate</w:t>
            </w:r>
          </w:p>
        </w:tc>
        <w:tc>
          <w:tcPr>
            <w:tcW w:w="1883" w:type="dxa"/>
            <w:shd w:val="clear" w:color="auto" w:fill="DEEAF6" w:themeFill="accent5" w:themeFillTint="33"/>
            <w:vAlign w:val="center"/>
          </w:tcPr>
          <w:p w14:paraId="1F925564" w14:textId="77777777" w:rsidR="009415F9" w:rsidRPr="00CB7272" w:rsidRDefault="009415F9" w:rsidP="00A142DD">
            <w:pPr>
              <w:spacing w:line="276" w:lineRule="auto"/>
              <w:jc w:val="center"/>
              <w:rPr>
                <w:rFonts w:ascii="Rockwell" w:hAnsi="Rockwell"/>
                <w:color w:val="2F5496" w:themeColor="accent1" w:themeShade="BF"/>
              </w:rPr>
            </w:pPr>
            <w:r w:rsidRPr="00CB7272">
              <w:rPr>
                <w:rFonts w:ascii="Rockwell" w:hAnsi="Rockwell"/>
                <w:color w:val="2F5496" w:themeColor="accent1" w:themeShade="BF"/>
              </w:rPr>
              <w:t>Standard Error</w:t>
            </w:r>
          </w:p>
        </w:tc>
        <w:tc>
          <w:tcPr>
            <w:tcW w:w="0" w:type="auto"/>
            <w:shd w:val="clear" w:color="auto" w:fill="DEEAF6" w:themeFill="accent5" w:themeFillTint="33"/>
            <w:vAlign w:val="center"/>
          </w:tcPr>
          <w:p w14:paraId="4BE2A0FD" w14:textId="77777777" w:rsidR="009415F9" w:rsidRPr="00CB7272" w:rsidRDefault="009415F9" w:rsidP="00A142DD">
            <w:pPr>
              <w:spacing w:line="276" w:lineRule="auto"/>
              <w:jc w:val="center"/>
              <w:rPr>
                <w:rFonts w:ascii="Rockwell" w:hAnsi="Rockwell"/>
                <w:color w:val="2F5496" w:themeColor="accent1" w:themeShade="BF"/>
              </w:rPr>
            </w:pPr>
            <w:r w:rsidRPr="00CB7272">
              <w:rPr>
                <w:rFonts w:ascii="Rockwell" w:hAnsi="Rockwell"/>
                <w:color w:val="2F5496" w:themeColor="accent1" w:themeShade="BF"/>
              </w:rPr>
              <w:t>t-value</w:t>
            </w:r>
          </w:p>
        </w:tc>
        <w:tc>
          <w:tcPr>
            <w:tcW w:w="0" w:type="auto"/>
            <w:shd w:val="clear" w:color="auto" w:fill="DEEAF6" w:themeFill="accent5" w:themeFillTint="33"/>
            <w:vAlign w:val="center"/>
          </w:tcPr>
          <w:p w14:paraId="5046E493" w14:textId="77777777" w:rsidR="009415F9" w:rsidRPr="00CB7272" w:rsidRDefault="009415F9" w:rsidP="00A142DD">
            <w:pPr>
              <w:spacing w:line="276" w:lineRule="auto"/>
              <w:jc w:val="center"/>
              <w:rPr>
                <w:rFonts w:ascii="Rockwell" w:hAnsi="Rockwell"/>
                <w:color w:val="2F5496" w:themeColor="accent1" w:themeShade="BF"/>
              </w:rPr>
            </w:pPr>
            <w:r w:rsidRPr="00CB7272">
              <w:rPr>
                <w:rFonts w:ascii="Rockwell" w:hAnsi="Rockwell"/>
                <w:color w:val="2F5496" w:themeColor="accent1" w:themeShade="BF"/>
              </w:rPr>
              <w:t>p-value</w:t>
            </w:r>
          </w:p>
        </w:tc>
      </w:tr>
      <w:tr w:rsidR="009415F9" w:rsidRPr="00D65137" w14:paraId="29B58A50" w14:textId="77777777" w:rsidTr="0046506F">
        <w:tc>
          <w:tcPr>
            <w:tcW w:w="3325" w:type="dxa"/>
            <w:vAlign w:val="bottom"/>
          </w:tcPr>
          <w:p w14:paraId="1CE8AB6C" w14:textId="77777777" w:rsidR="009415F9" w:rsidRPr="002B792E" w:rsidRDefault="009415F9" w:rsidP="00A142DD">
            <w:pPr>
              <w:spacing w:line="276" w:lineRule="auto"/>
              <w:rPr>
                <w:i/>
              </w:rPr>
            </w:pPr>
            <w:r w:rsidRPr="002B792E">
              <w:rPr>
                <w:i/>
              </w:rPr>
              <w:t>Constant</w:t>
            </w:r>
          </w:p>
        </w:tc>
        <w:tc>
          <w:tcPr>
            <w:tcW w:w="1170" w:type="dxa"/>
            <w:vAlign w:val="center"/>
          </w:tcPr>
          <w:p w14:paraId="25052095" w14:textId="77777777" w:rsidR="009415F9" w:rsidRPr="00D65137" w:rsidRDefault="009415F9" w:rsidP="004938DC">
            <w:pPr>
              <w:spacing w:line="276" w:lineRule="auto"/>
              <w:jc w:val="right"/>
              <w:rPr>
                <w:color w:val="000000"/>
              </w:rPr>
            </w:pPr>
            <w:r w:rsidRPr="00D65137">
              <w:rPr>
                <w:color w:val="000000"/>
              </w:rPr>
              <w:t>35.654</w:t>
            </w:r>
          </w:p>
        </w:tc>
        <w:tc>
          <w:tcPr>
            <w:tcW w:w="1883" w:type="dxa"/>
            <w:vAlign w:val="center"/>
          </w:tcPr>
          <w:p w14:paraId="50BFBF82" w14:textId="77777777" w:rsidR="009415F9" w:rsidRPr="00D65137" w:rsidRDefault="009415F9" w:rsidP="004938DC">
            <w:pPr>
              <w:spacing w:line="276" w:lineRule="auto"/>
              <w:jc w:val="right"/>
              <w:rPr>
                <w:color w:val="000000"/>
              </w:rPr>
            </w:pPr>
            <w:r w:rsidRPr="00D65137">
              <w:rPr>
                <w:color w:val="000000"/>
              </w:rPr>
              <w:t>16.112</w:t>
            </w:r>
          </w:p>
        </w:tc>
        <w:tc>
          <w:tcPr>
            <w:tcW w:w="0" w:type="auto"/>
            <w:vAlign w:val="center"/>
          </w:tcPr>
          <w:p w14:paraId="6722ADB9" w14:textId="77777777" w:rsidR="009415F9" w:rsidRPr="00D65137" w:rsidRDefault="009415F9" w:rsidP="004938DC">
            <w:pPr>
              <w:spacing w:line="276" w:lineRule="auto"/>
              <w:jc w:val="right"/>
              <w:rPr>
                <w:color w:val="000000"/>
              </w:rPr>
            </w:pPr>
            <w:r w:rsidRPr="00D65137">
              <w:rPr>
                <w:color w:val="000000"/>
              </w:rPr>
              <w:t>2.213</w:t>
            </w:r>
          </w:p>
        </w:tc>
        <w:tc>
          <w:tcPr>
            <w:tcW w:w="0" w:type="auto"/>
            <w:vAlign w:val="center"/>
          </w:tcPr>
          <w:p w14:paraId="386F87B2" w14:textId="77777777" w:rsidR="009415F9" w:rsidRPr="00D65137" w:rsidRDefault="009415F9" w:rsidP="004938DC">
            <w:pPr>
              <w:spacing w:line="276" w:lineRule="auto"/>
              <w:jc w:val="right"/>
              <w:rPr>
                <w:color w:val="000000"/>
              </w:rPr>
            </w:pPr>
            <w:r w:rsidRPr="00D65137">
              <w:rPr>
                <w:color w:val="000000"/>
              </w:rPr>
              <w:t>0.037</w:t>
            </w:r>
          </w:p>
        </w:tc>
      </w:tr>
      <w:tr w:rsidR="009415F9" w:rsidRPr="00D65137" w14:paraId="0103FF05" w14:textId="77777777" w:rsidTr="0046506F">
        <w:tc>
          <w:tcPr>
            <w:tcW w:w="3325" w:type="dxa"/>
            <w:vAlign w:val="bottom"/>
          </w:tcPr>
          <w:p w14:paraId="3487DFF4" w14:textId="77777777" w:rsidR="009415F9" w:rsidRPr="002B792E" w:rsidRDefault="009415F9" w:rsidP="00A142DD">
            <w:pPr>
              <w:spacing w:line="276" w:lineRule="auto"/>
              <w:rPr>
                <w:i/>
              </w:rPr>
            </w:pPr>
            <w:r w:rsidRPr="002B792E">
              <w:rPr>
                <w:i/>
              </w:rPr>
              <w:t>Reliability of Infrastructure</w:t>
            </w:r>
          </w:p>
        </w:tc>
        <w:tc>
          <w:tcPr>
            <w:tcW w:w="1170" w:type="dxa"/>
            <w:vAlign w:val="center"/>
          </w:tcPr>
          <w:p w14:paraId="5BA752A7" w14:textId="77777777" w:rsidR="009415F9" w:rsidRPr="00D65137" w:rsidRDefault="009415F9" w:rsidP="004938DC">
            <w:pPr>
              <w:spacing w:line="276" w:lineRule="auto"/>
              <w:jc w:val="right"/>
              <w:rPr>
                <w:color w:val="000000"/>
              </w:rPr>
            </w:pPr>
            <w:r w:rsidRPr="00D65137">
              <w:rPr>
                <w:color w:val="000000"/>
              </w:rPr>
              <w:t>-98.818</w:t>
            </w:r>
          </w:p>
        </w:tc>
        <w:tc>
          <w:tcPr>
            <w:tcW w:w="1883" w:type="dxa"/>
            <w:vAlign w:val="center"/>
          </w:tcPr>
          <w:p w14:paraId="3D1AC7A8" w14:textId="77777777" w:rsidR="009415F9" w:rsidRPr="00D65137" w:rsidRDefault="009415F9" w:rsidP="004938DC">
            <w:pPr>
              <w:spacing w:line="276" w:lineRule="auto"/>
              <w:jc w:val="right"/>
              <w:rPr>
                <w:color w:val="000000"/>
              </w:rPr>
            </w:pPr>
            <w:r w:rsidRPr="00D65137">
              <w:rPr>
                <w:color w:val="000000"/>
              </w:rPr>
              <w:t>28.729</w:t>
            </w:r>
          </w:p>
        </w:tc>
        <w:tc>
          <w:tcPr>
            <w:tcW w:w="0" w:type="auto"/>
            <w:vAlign w:val="center"/>
          </w:tcPr>
          <w:p w14:paraId="476A3C97" w14:textId="77777777" w:rsidR="009415F9" w:rsidRPr="00D65137" w:rsidRDefault="009415F9" w:rsidP="004938DC">
            <w:pPr>
              <w:spacing w:line="276" w:lineRule="auto"/>
              <w:jc w:val="right"/>
              <w:rPr>
                <w:color w:val="000000"/>
              </w:rPr>
            </w:pPr>
            <w:r w:rsidRPr="00D65137">
              <w:rPr>
                <w:color w:val="000000"/>
              </w:rPr>
              <w:t>-3.440</w:t>
            </w:r>
          </w:p>
        </w:tc>
        <w:tc>
          <w:tcPr>
            <w:tcW w:w="0" w:type="auto"/>
            <w:vAlign w:val="center"/>
          </w:tcPr>
          <w:p w14:paraId="51A34E69" w14:textId="77777777" w:rsidR="009415F9" w:rsidRPr="00D65137" w:rsidRDefault="009415F9" w:rsidP="004938DC">
            <w:pPr>
              <w:spacing w:line="276" w:lineRule="auto"/>
              <w:jc w:val="right"/>
              <w:rPr>
                <w:color w:val="000000"/>
              </w:rPr>
            </w:pPr>
            <w:r w:rsidRPr="00D65137">
              <w:rPr>
                <w:color w:val="000000"/>
              </w:rPr>
              <w:t>0.002</w:t>
            </w:r>
          </w:p>
        </w:tc>
      </w:tr>
      <w:tr w:rsidR="009415F9" w:rsidRPr="00D65137" w14:paraId="6ED9DE28" w14:textId="77777777" w:rsidTr="0046506F">
        <w:tc>
          <w:tcPr>
            <w:tcW w:w="3325" w:type="dxa"/>
            <w:vAlign w:val="bottom"/>
          </w:tcPr>
          <w:p w14:paraId="115B1360" w14:textId="77777777" w:rsidR="009415F9" w:rsidRPr="002B792E" w:rsidRDefault="009415F9" w:rsidP="00A142DD">
            <w:pPr>
              <w:spacing w:line="276" w:lineRule="auto"/>
              <w:rPr>
                <w:i/>
              </w:rPr>
            </w:pPr>
            <w:r w:rsidRPr="002B792E">
              <w:rPr>
                <w:i/>
              </w:rPr>
              <w:t>Transparency of Information</w:t>
            </w:r>
          </w:p>
        </w:tc>
        <w:tc>
          <w:tcPr>
            <w:tcW w:w="1170" w:type="dxa"/>
            <w:vAlign w:val="center"/>
          </w:tcPr>
          <w:p w14:paraId="6E02F1F6" w14:textId="77777777" w:rsidR="009415F9" w:rsidRPr="00D65137" w:rsidRDefault="009415F9" w:rsidP="004938DC">
            <w:pPr>
              <w:spacing w:line="276" w:lineRule="auto"/>
              <w:jc w:val="right"/>
              <w:rPr>
                <w:color w:val="000000"/>
              </w:rPr>
            </w:pPr>
            <w:r w:rsidRPr="00D65137">
              <w:rPr>
                <w:color w:val="000000"/>
              </w:rPr>
              <w:t>99.388</w:t>
            </w:r>
          </w:p>
        </w:tc>
        <w:tc>
          <w:tcPr>
            <w:tcW w:w="1883" w:type="dxa"/>
            <w:vAlign w:val="center"/>
          </w:tcPr>
          <w:p w14:paraId="02095688" w14:textId="77777777" w:rsidR="009415F9" w:rsidRPr="00D65137" w:rsidRDefault="009415F9" w:rsidP="004938DC">
            <w:pPr>
              <w:spacing w:line="276" w:lineRule="auto"/>
              <w:jc w:val="right"/>
              <w:rPr>
                <w:color w:val="000000"/>
              </w:rPr>
            </w:pPr>
            <w:r w:rsidRPr="00D65137">
              <w:rPr>
                <w:color w:val="000000"/>
              </w:rPr>
              <w:t>28.736</w:t>
            </w:r>
          </w:p>
        </w:tc>
        <w:tc>
          <w:tcPr>
            <w:tcW w:w="0" w:type="auto"/>
            <w:vAlign w:val="center"/>
          </w:tcPr>
          <w:p w14:paraId="3B494758" w14:textId="77777777" w:rsidR="009415F9" w:rsidRPr="00D65137" w:rsidRDefault="009415F9" w:rsidP="004938DC">
            <w:pPr>
              <w:spacing w:line="276" w:lineRule="auto"/>
              <w:jc w:val="right"/>
              <w:rPr>
                <w:color w:val="000000"/>
              </w:rPr>
            </w:pPr>
            <w:r w:rsidRPr="00D65137">
              <w:rPr>
                <w:color w:val="000000"/>
              </w:rPr>
              <w:t>3.459</w:t>
            </w:r>
          </w:p>
        </w:tc>
        <w:tc>
          <w:tcPr>
            <w:tcW w:w="0" w:type="auto"/>
            <w:vAlign w:val="center"/>
          </w:tcPr>
          <w:p w14:paraId="0542CDB2" w14:textId="77777777" w:rsidR="009415F9" w:rsidRPr="00D65137" w:rsidRDefault="009415F9" w:rsidP="004938DC">
            <w:pPr>
              <w:spacing w:line="276" w:lineRule="auto"/>
              <w:jc w:val="right"/>
              <w:rPr>
                <w:color w:val="000000"/>
              </w:rPr>
            </w:pPr>
            <w:r w:rsidRPr="00D65137">
              <w:rPr>
                <w:color w:val="000000"/>
              </w:rPr>
              <w:t>0.002</w:t>
            </w:r>
          </w:p>
        </w:tc>
      </w:tr>
      <w:tr w:rsidR="009415F9" w:rsidRPr="00D65137" w14:paraId="3C499E7B" w14:textId="77777777" w:rsidTr="0046506F">
        <w:tc>
          <w:tcPr>
            <w:tcW w:w="3325" w:type="dxa"/>
            <w:vAlign w:val="bottom"/>
          </w:tcPr>
          <w:p w14:paraId="372CA316" w14:textId="77777777" w:rsidR="009415F9" w:rsidRPr="002B792E" w:rsidRDefault="009415F9" w:rsidP="00A142DD">
            <w:pPr>
              <w:spacing w:line="276" w:lineRule="auto"/>
              <w:rPr>
                <w:i/>
              </w:rPr>
            </w:pPr>
            <w:r w:rsidRPr="002B792E">
              <w:rPr>
                <w:i/>
              </w:rPr>
              <w:t>Geographic Coverage</w:t>
            </w:r>
          </w:p>
        </w:tc>
        <w:tc>
          <w:tcPr>
            <w:tcW w:w="1170" w:type="dxa"/>
            <w:vAlign w:val="center"/>
          </w:tcPr>
          <w:p w14:paraId="467954E4" w14:textId="77777777" w:rsidR="009415F9" w:rsidRPr="00D65137" w:rsidRDefault="009415F9" w:rsidP="004938DC">
            <w:pPr>
              <w:spacing w:line="276" w:lineRule="auto"/>
              <w:jc w:val="right"/>
              <w:rPr>
                <w:color w:val="000000"/>
              </w:rPr>
            </w:pPr>
            <w:r w:rsidRPr="00D65137">
              <w:rPr>
                <w:color w:val="000000"/>
              </w:rPr>
              <w:t>3.455</w:t>
            </w:r>
          </w:p>
        </w:tc>
        <w:tc>
          <w:tcPr>
            <w:tcW w:w="1883" w:type="dxa"/>
            <w:vAlign w:val="center"/>
          </w:tcPr>
          <w:p w14:paraId="37BA76C3" w14:textId="77777777" w:rsidR="009415F9" w:rsidRPr="00D65137" w:rsidRDefault="009415F9" w:rsidP="004938DC">
            <w:pPr>
              <w:spacing w:line="276" w:lineRule="auto"/>
              <w:jc w:val="right"/>
              <w:rPr>
                <w:color w:val="000000"/>
              </w:rPr>
            </w:pPr>
            <w:r w:rsidRPr="00D65137">
              <w:rPr>
                <w:color w:val="000000"/>
              </w:rPr>
              <w:t>1.670</w:t>
            </w:r>
          </w:p>
        </w:tc>
        <w:tc>
          <w:tcPr>
            <w:tcW w:w="0" w:type="auto"/>
            <w:vAlign w:val="center"/>
          </w:tcPr>
          <w:p w14:paraId="076AD8B5" w14:textId="77777777" w:rsidR="009415F9" w:rsidRPr="00D65137" w:rsidRDefault="009415F9" w:rsidP="004938DC">
            <w:pPr>
              <w:spacing w:line="276" w:lineRule="auto"/>
              <w:jc w:val="right"/>
              <w:rPr>
                <w:color w:val="000000"/>
              </w:rPr>
            </w:pPr>
            <w:r w:rsidRPr="00D65137">
              <w:rPr>
                <w:color w:val="000000"/>
              </w:rPr>
              <w:t>2.068</w:t>
            </w:r>
          </w:p>
        </w:tc>
        <w:tc>
          <w:tcPr>
            <w:tcW w:w="0" w:type="auto"/>
            <w:vAlign w:val="center"/>
          </w:tcPr>
          <w:p w14:paraId="29083E45" w14:textId="77777777" w:rsidR="009415F9" w:rsidRPr="00D65137" w:rsidRDefault="009415F9" w:rsidP="004938DC">
            <w:pPr>
              <w:spacing w:line="276" w:lineRule="auto"/>
              <w:jc w:val="right"/>
              <w:rPr>
                <w:color w:val="000000"/>
              </w:rPr>
            </w:pPr>
            <w:r w:rsidRPr="00D65137">
              <w:rPr>
                <w:color w:val="000000"/>
              </w:rPr>
              <w:t>0.050</w:t>
            </w:r>
          </w:p>
        </w:tc>
      </w:tr>
      <w:tr w:rsidR="009415F9" w:rsidRPr="00D65137" w14:paraId="210A02C1" w14:textId="77777777" w:rsidTr="0046506F">
        <w:tc>
          <w:tcPr>
            <w:tcW w:w="3325" w:type="dxa"/>
            <w:vAlign w:val="bottom"/>
          </w:tcPr>
          <w:p w14:paraId="6F519E1C" w14:textId="77777777" w:rsidR="009415F9" w:rsidRPr="002B792E" w:rsidRDefault="009415F9" w:rsidP="00A142DD">
            <w:pPr>
              <w:spacing w:line="276" w:lineRule="auto"/>
              <w:rPr>
                <w:i/>
              </w:rPr>
            </w:pPr>
            <w:r w:rsidRPr="002B792E">
              <w:rPr>
                <w:i/>
              </w:rPr>
              <w:t>Land Dispute Resolution</w:t>
            </w:r>
          </w:p>
        </w:tc>
        <w:tc>
          <w:tcPr>
            <w:tcW w:w="1170" w:type="dxa"/>
            <w:vAlign w:val="center"/>
          </w:tcPr>
          <w:p w14:paraId="292B98AD" w14:textId="77777777" w:rsidR="009415F9" w:rsidRPr="00D65137" w:rsidRDefault="009415F9" w:rsidP="004938DC">
            <w:pPr>
              <w:spacing w:line="276" w:lineRule="auto"/>
              <w:jc w:val="right"/>
              <w:rPr>
                <w:color w:val="000000"/>
              </w:rPr>
            </w:pPr>
            <w:r w:rsidRPr="00D65137">
              <w:rPr>
                <w:color w:val="000000"/>
              </w:rPr>
              <w:t>2.660</w:t>
            </w:r>
          </w:p>
        </w:tc>
        <w:tc>
          <w:tcPr>
            <w:tcW w:w="1883" w:type="dxa"/>
            <w:vAlign w:val="center"/>
          </w:tcPr>
          <w:p w14:paraId="088CEC1C" w14:textId="77777777" w:rsidR="009415F9" w:rsidRPr="00D65137" w:rsidRDefault="009415F9" w:rsidP="004938DC">
            <w:pPr>
              <w:spacing w:line="276" w:lineRule="auto"/>
              <w:jc w:val="right"/>
              <w:rPr>
                <w:color w:val="000000"/>
              </w:rPr>
            </w:pPr>
            <w:r w:rsidRPr="00D65137">
              <w:rPr>
                <w:color w:val="000000"/>
              </w:rPr>
              <w:t>3.066</w:t>
            </w:r>
          </w:p>
        </w:tc>
        <w:tc>
          <w:tcPr>
            <w:tcW w:w="0" w:type="auto"/>
            <w:vAlign w:val="center"/>
          </w:tcPr>
          <w:p w14:paraId="214A97AF" w14:textId="77777777" w:rsidR="009415F9" w:rsidRPr="00D65137" w:rsidRDefault="009415F9" w:rsidP="004938DC">
            <w:pPr>
              <w:spacing w:line="276" w:lineRule="auto"/>
              <w:jc w:val="right"/>
              <w:rPr>
                <w:color w:val="000000"/>
              </w:rPr>
            </w:pPr>
            <w:r w:rsidRPr="00D65137">
              <w:rPr>
                <w:color w:val="000000"/>
              </w:rPr>
              <w:t>0.868</w:t>
            </w:r>
          </w:p>
        </w:tc>
        <w:tc>
          <w:tcPr>
            <w:tcW w:w="0" w:type="auto"/>
            <w:vAlign w:val="center"/>
          </w:tcPr>
          <w:p w14:paraId="45A9E02D" w14:textId="77777777" w:rsidR="009415F9" w:rsidRPr="00D65137" w:rsidRDefault="009415F9" w:rsidP="004938DC">
            <w:pPr>
              <w:spacing w:line="276" w:lineRule="auto"/>
              <w:jc w:val="right"/>
              <w:rPr>
                <w:color w:val="000000"/>
              </w:rPr>
            </w:pPr>
            <w:r w:rsidRPr="00D65137">
              <w:rPr>
                <w:color w:val="000000"/>
              </w:rPr>
              <w:t>0.395</w:t>
            </w:r>
          </w:p>
        </w:tc>
      </w:tr>
      <w:tr w:rsidR="009415F9" w:rsidRPr="00D65137" w14:paraId="6917849A" w14:textId="77777777" w:rsidTr="0046506F">
        <w:tc>
          <w:tcPr>
            <w:tcW w:w="3325" w:type="dxa"/>
            <w:vAlign w:val="bottom"/>
          </w:tcPr>
          <w:p w14:paraId="181868E1" w14:textId="77777777" w:rsidR="009415F9" w:rsidRPr="002B792E" w:rsidRDefault="009415F9" w:rsidP="00A142DD">
            <w:pPr>
              <w:spacing w:line="276" w:lineRule="auto"/>
              <w:rPr>
                <w:i/>
              </w:rPr>
            </w:pPr>
            <w:r w:rsidRPr="002B792E">
              <w:rPr>
                <w:i/>
              </w:rPr>
              <w:t>Population</w:t>
            </w:r>
          </w:p>
        </w:tc>
        <w:tc>
          <w:tcPr>
            <w:tcW w:w="1170" w:type="dxa"/>
            <w:vAlign w:val="center"/>
          </w:tcPr>
          <w:p w14:paraId="7B7C2D24" w14:textId="77777777" w:rsidR="009415F9" w:rsidRPr="00D65137" w:rsidRDefault="009415F9" w:rsidP="004938DC">
            <w:pPr>
              <w:spacing w:line="276" w:lineRule="auto"/>
              <w:jc w:val="right"/>
              <w:rPr>
                <w:color w:val="000000"/>
              </w:rPr>
            </w:pPr>
            <w:r w:rsidRPr="00D65137">
              <w:rPr>
                <w:color w:val="000000"/>
              </w:rPr>
              <w:t>-0.000</w:t>
            </w:r>
          </w:p>
        </w:tc>
        <w:tc>
          <w:tcPr>
            <w:tcW w:w="1883" w:type="dxa"/>
            <w:vAlign w:val="center"/>
          </w:tcPr>
          <w:p w14:paraId="65DCC120" w14:textId="77777777" w:rsidR="009415F9" w:rsidRPr="00D65137" w:rsidRDefault="009415F9" w:rsidP="004938DC">
            <w:pPr>
              <w:spacing w:line="276" w:lineRule="auto"/>
              <w:jc w:val="right"/>
              <w:rPr>
                <w:color w:val="000000"/>
              </w:rPr>
            </w:pPr>
            <w:r w:rsidRPr="00D65137">
              <w:rPr>
                <w:color w:val="000000"/>
              </w:rPr>
              <w:t>0.000</w:t>
            </w:r>
          </w:p>
        </w:tc>
        <w:tc>
          <w:tcPr>
            <w:tcW w:w="0" w:type="auto"/>
            <w:vAlign w:val="center"/>
          </w:tcPr>
          <w:p w14:paraId="60E9DCFD" w14:textId="77777777" w:rsidR="009415F9" w:rsidRPr="00D65137" w:rsidRDefault="009415F9" w:rsidP="004938DC">
            <w:pPr>
              <w:spacing w:line="276" w:lineRule="auto"/>
              <w:jc w:val="right"/>
              <w:rPr>
                <w:color w:val="000000"/>
              </w:rPr>
            </w:pPr>
            <w:r w:rsidRPr="00D65137">
              <w:rPr>
                <w:color w:val="000000"/>
              </w:rPr>
              <w:t>-2.396</w:t>
            </w:r>
          </w:p>
        </w:tc>
        <w:tc>
          <w:tcPr>
            <w:tcW w:w="0" w:type="auto"/>
            <w:vAlign w:val="center"/>
          </w:tcPr>
          <w:p w14:paraId="06CFB320" w14:textId="77777777" w:rsidR="009415F9" w:rsidRPr="00D65137" w:rsidRDefault="009415F9" w:rsidP="004938DC">
            <w:pPr>
              <w:spacing w:line="276" w:lineRule="auto"/>
              <w:jc w:val="right"/>
              <w:rPr>
                <w:color w:val="000000"/>
              </w:rPr>
            </w:pPr>
            <w:r w:rsidRPr="00D65137">
              <w:rPr>
                <w:color w:val="000000"/>
              </w:rPr>
              <w:t>0.025</w:t>
            </w:r>
          </w:p>
        </w:tc>
      </w:tr>
      <w:tr w:rsidR="009415F9" w:rsidRPr="00D65137" w14:paraId="51F73DB2" w14:textId="77777777" w:rsidTr="0046506F">
        <w:tc>
          <w:tcPr>
            <w:tcW w:w="3325" w:type="dxa"/>
            <w:vAlign w:val="bottom"/>
          </w:tcPr>
          <w:p w14:paraId="4646E7B4" w14:textId="77777777" w:rsidR="009415F9" w:rsidRPr="002B792E" w:rsidRDefault="009415F9" w:rsidP="00A142DD">
            <w:pPr>
              <w:spacing w:line="276" w:lineRule="auto"/>
              <w:rPr>
                <w:i/>
              </w:rPr>
            </w:pPr>
            <w:r w:rsidRPr="002B792E">
              <w:rPr>
                <w:i/>
              </w:rPr>
              <w:t>Rural Population</w:t>
            </w:r>
          </w:p>
        </w:tc>
        <w:tc>
          <w:tcPr>
            <w:tcW w:w="1170" w:type="dxa"/>
            <w:vAlign w:val="center"/>
          </w:tcPr>
          <w:p w14:paraId="2933C37A" w14:textId="77777777" w:rsidR="009415F9" w:rsidRPr="00D65137" w:rsidRDefault="009415F9" w:rsidP="004938DC">
            <w:pPr>
              <w:spacing w:line="276" w:lineRule="auto"/>
              <w:jc w:val="right"/>
              <w:rPr>
                <w:color w:val="000000"/>
              </w:rPr>
            </w:pPr>
            <w:r w:rsidRPr="00D65137">
              <w:rPr>
                <w:color w:val="000000"/>
              </w:rPr>
              <w:t>-0.882</w:t>
            </w:r>
          </w:p>
        </w:tc>
        <w:tc>
          <w:tcPr>
            <w:tcW w:w="1883" w:type="dxa"/>
            <w:vAlign w:val="center"/>
          </w:tcPr>
          <w:p w14:paraId="41DEE60E" w14:textId="77777777" w:rsidR="009415F9" w:rsidRPr="00D65137" w:rsidRDefault="009415F9" w:rsidP="004938DC">
            <w:pPr>
              <w:spacing w:line="276" w:lineRule="auto"/>
              <w:jc w:val="right"/>
              <w:rPr>
                <w:color w:val="000000"/>
              </w:rPr>
            </w:pPr>
            <w:r w:rsidRPr="00D65137">
              <w:rPr>
                <w:color w:val="000000"/>
              </w:rPr>
              <w:t>0.168</w:t>
            </w:r>
          </w:p>
        </w:tc>
        <w:tc>
          <w:tcPr>
            <w:tcW w:w="0" w:type="auto"/>
            <w:vAlign w:val="center"/>
          </w:tcPr>
          <w:p w14:paraId="1F2C6C8C" w14:textId="77777777" w:rsidR="009415F9" w:rsidRPr="00D65137" w:rsidRDefault="009415F9" w:rsidP="004938DC">
            <w:pPr>
              <w:spacing w:line="276" w:lineRule="auto"/>
              <w:jc w:val="right"/>
              <w:rPr>
                <w:color w:val="000000"/>
              </w:rPr>
            </w:pPr>
            <w:r w:rsidRPr="00D65137">
              <w:rPr>
                <w:color w:val="000000"/>
              </w:rPr>
              <w:t>-5.260</w:t>
            </w:r>
          </w:p>
        </w:tc>
        <w:tc>
          <w:tcPr>
            <w:tcW w:w="0" w:type="auto"/>
            <w:vAlign w:val="center"/>
          </w:tcPr>
          <w:p w14:paraId="064CF8F3" w14:textId="77777777" w:rsidR="009415F9" w:rsidRPr="00D65137" w:rsidRDefault="009415F9" w:rsidP="004938DC">
            <w:pPr>
              <w:spacing w:line="276" w:lineRule="auto"/>
              <w:jc w:val="right"/>
              <w:rPr>
                <w:color w:val="000000"/>
              </w:rPr>
            </w:pPr>
            <w:r w:rsidRPr="00D65137">
              <w:rPr>
                <w:color w:val="000000"/>
              </w:rPr>
              <w:t>0.000</w:t>
            </w:r>
          </w:p>
        </w:tc>
      </w:tr>
    </w:tbl>
    <w:p w14:paraId="7D14A0F1" w14:textId="61ABAF02" w:rsidR="0080248E" w:rsidRPr="008B4805" w:rsidRDefault="00D506F9" w:rsidP="00155C32">
      <w:pPr>
        <w:spacing w:line="360" w:lineRule="auto"/>
        <w:rPr>
          <w:color w:val="000000" w:themeColor="text1"/>
          <w:sz w:val="28"/>
        </w:rPr>
      </w:pPr>
      <w:r>
        <w:rPr>
          <w:color w:val="000000" w:themeColor="text1"/>
        </w:rPr>
        <w:t xml:space="preserve"> </w:t>
      </w:r>
    </w:p>
    <w:p w14:paraId="64700501" w14:textId="0AD8C3AF" w:rsidR="006174A9" w:rsidRDefault="00CE19E8" w:rsidP="00EF617C">
      <w:pPr>
        <w:spacing w:line="360" w:lineRule="auto"/>
        <w:ind w:firstLine="720"/>
        <w:rPr>
          <w:color w:val="000000" w:themeColor="text1"/>
        </w:rPr>
      </w:pPr>
      <w:r w:rsidRPr="005B07BF">
        <w:rPr>
          <w:color w:val="000000" w:themeColor="text1"/>
        </w:rPr>
        <w:t xml:space="preserve">From </w:t>
      </w:r>
      <w:r w:rsidRPr="005B07BF">
        <w:rPr>
          <w:i/>
          <w:color w:val="000000" w:themeColor="text1"/>
        </w:rPr>
        <w:t xml:space="preserve">Table </w:t>
      </w:r>
      <w:r w:rsidR="005145CE" w:rsidRPr="005B07BF">
        <w:rPr>
          <w:i/>
          <w:color w:val="000000" w:themeColor="text1"/>
        </w:rPr>
        <w:t>2</w:t>
      </w:r>
      <w:r w:rsidR="001A2B54" w:rsidRPr="005B07BF">
        <w:rPr>
          <w:color w:val="000000" w:themeColor="text1"/>
        </w:rPr>
        <w:t xml:space="preserve"> above</w:t>
      </w:r>
      <w:r w:rsidRPr="005B07BF">
        <w:rPr>
          <w:color w:val="000000" w:themeColor="text1"/>
        </w:rPr>
        <w:t xml:space="preserve">, </w:t>
      </w:r>
      <w:r w:rsidR="00635666" w:rsidRPr="005B07BF">
        <w:rPr>
          <w:color w:val="000000" w:themeColor="text1"/>
        </w:rPr>
        <w:t>the associated p-value</w:t>
      </w:r>
      <w:r w:rsidR="001A2B54" w:rsidRPr="005B07BF">
        <w:rPr>
          <w:color w:val="000000" w:themeColor="text1"/>
        </w:rPr>
        <w:t xml:space="preserve">s </w:t>
      </w:r>
      <w:r w:rsidR="00635666" w:rsidRPr="005B07BF">
        <w:rPr>
          <w:color w:val="000000" w:themeColor="text1"/>
        </w:rPr>
        <w:t xml:space="preserve">for each variable are of note. </w:t>
      </w:r>
      <w:r w:rsidR="001A2B54" w:rsidRPr="005B07BF">
        <w:rPr>
          <w:color w:val="000000" w:themeColor="text1"/>
        </w:rPr>
        <w:t xml:space="preserve">A </w:t>
      </w:r>
      <w:r w:rsidR="009B58BE">
        <w:rPr>
          <w:color w:val="000000" w:themeColor="text1"/>
        </w:rPr>
        <w:t>predictor</w:t>
      </w:r>
      <w:r w:rsidR="00635666" w:rsidRPr="005B07BF">
        <w:rPr>
          <w:color w:val="000000" w:themeColor="text1"/>
        </w:rPr>
        <w:t xml:space="preserve"> variable is considered statistically significant if its p-value is less than the overall significance level </w:t>
      </w:r>
      <w:r w:rsidR="001A2B54" w:rsidRPr="005B07BF">
        <w:rPr>
          <w:color w:val="000000" w:themeColor="text1"/>
        </w:rPr>
        <w:t>set for</w:t>
      </w:r>
      <w:r w:rsidR="00635666" w:rsidRPr="005B07BF">
        <w:rPr>
          <w:color w:val="000000" w:themeColor="text1"/>
        </w:rPr>
        <w:t xml:space="preserve"> the model (α=0.005). As a result, the variables </w:t>
      </w:r>
      <w:r w:rsidR="00635666" w:rsidRPr="005B07BF">
        <w:rPr>
          <w:i/>
          <w:color w:val="000000" w:themeColor="text1"/>
        </w:rPr>
        <w:t xml:space="preserve">Reliability of Infrastructure, Transparency of Information, Population, </w:t>
      </w:r>
      <w:r w:rsidR="00635666" w:rsidRPr="005B07BF">
        <w:rPr>
          <w:color w:val="000000" w:themeColor="text1"/>
        </w:rPr>
        <w:t xml:space="preserve">and </w:t>
      </w:r>
      <w:r w:rsidR="00635666" w:rsidRPr="005B07BF">
        <w:rPr>
          <w:i/>
          <w:color w:val="000000" w:themeColor="text1"/>
        </w:rPr>
        <w:t xml:space="preserve">Rural Population </w:t>
      </w:r>
      <w:r w:rsidR="00635666" w:rsidRPr="005B07BF">
        <w:rPr>
          <w:color w:val="000000" w:themeColor="text1"/>
        </w:rPr>
        <w:t>are considered statistically significant</w:t>
      </w:r>
      <w:r w:rsidR="001A2B54" w:rsidRPr="005B07BF">
        <w:rPr>
          <w:color w:val="000000" w:themeColor="text1"/>
        </w:rPr>
        <w:t xml:space="preserve"> in this model</w:t>
      </w:r>
      <w:r w:rsidR="00635666" w:rsidRPr="005B07BF">
        <w:rPr>
          <w:color w:val="000000" w:themeColor="text1"/>
        </w:rPr>
        <w:t xml:space="preserve">. As mentioned in the previous section, the fifth and sixth independent variables in the model, </w:t>
      </w:r>
      <w:r w:rsidR="00635666" w:rsidRPr="005B07BF">
        <w:rPr>
          <w:i/>
          <w:color w:val="000000" w:themeColor="text1"/>
        </w:rPr>
        <w:t xml:space="preserve">Population </w:t>
      </w:r>
      <w:r w:rsidR="00635666" w:rsidRPr="005B07BF">
        <w:rPr>
          <w:color w:val="000000" w:themeColor="text1"/>
        </w:rPr>
        <w:t xml:space="preserve">and </w:t>
      </w:r>
      <w:r w:rsidR="00635666" w:rsidRPr="005B07BF">
        <w:rPr>
          <w:i/>
          <w:color w:val="000000" w:themeColor="text1"/>
        </w:rPr>
        <w:t xml:space="preserve">Rural Population, </w:t>
      </w:r>
      <w:r w:rsidR="00635666" w:rsidRPr="005B07BF">
        <w:rPr>
          <w:color w:val="000000" w:themeColor="text1"/>
        </w:rPr>
        <w:t xml:space="preserve">were included to serve the role of confounding variables. Consequently, the statistical significance of these parameters is of less concern to the </w:t>
      </w:r>
      <w:r w:rsidR="001A2B54" w:rsidRPr="005B07BF">
        <w:rPr>
          <w:color w:val="000000" w:themeColor="text1"/>
        </w:rPr>
        <w:t>overall aim</w:t>
      </w:r>
      <w:r w:rsidR="00635666" w:rsidRPr="005B07BF">
        <w:rPr>
          <w:color w:val="000000" w:themeColor="text1"/>
        </w:rPr>
        <w:t xml:space="preserve"> of this research. </w:t>
      </w:r>
    </w:p>
    <w:p w14:paraId="3FF71F32" w14:textId="77777777" w:rsidR="00EB5648" w:rsidRPr="005B07BF" w:rsidRDefault="00EB5648" w:rsidP="00EF617C">
      <w:pPr>
        <w:spacing w:line="360" w:lineRule="auto"/>
        <w:ind w:firstLine="720"/>
        <w:rPr>
          <w:color w:val="000000" w:themeColor="text1"/>
        </w:rPr>
      </w:pPr>
    </w:p>
    <w:p w14:paraId="4A52D0BC" w14:textId="77E3AA52" w:rsidR="008B4805" w:rsidRDefault="001A2B54" w:rsidP="008C1043">
      <w:pPr>
        <w:spacing w:line="360" w:lineRule="auto"/>
        <w:ind w:firstLine="720"/>
        <w:rPr>
          <w:i/>
          <w:color w:val="000000" w:themeColor="text1"/>
        </w:rPr>
      </w:pPr>
      <w:r>
        <w:rPr>
          <w:color w:val="000000" w:themeColor="text1"/>
        </w:rPr>
        <w:lastRenderedPageBreak/>
        <w:t>Also</w:t>
      </w:r>
      <w:r w:rsidR="006174A9">
        <w:rPr>
          <w:color w:val="000000" w:themeColor="text1"/>
        </w:rPr>
        <w:t xml:space="preserve"> shown in </w:t>
      </w:r>
      <w:r w:rsidR="006174A9">
        <w:rPr>
          <w:i/>
          <w:color w:val="000000" w:themeColor="text1"/>
        </w:rPr>
        <w:t xml:space="preserve">Table 2 </w:t>
      </w:r>
      <w:r w:rsidR="00155C32">
        <w:rPr>
          <w:color w:val="000000" w:themeColor="text1"/>
        </w:rPr>
        <w:t>on the previous page</w:t>
      </w:r>
      <w:r w:rsidR="006174A9">
        <w:rPr>
          <w:color w:val="000000" w:themeColor="text1"/>
        </w:rPr>
        <w:t>, the estimates for the predictor variables are of note</w:t>
      </w:r>
      <w:r w:rsidR="008B4805">
        <w:rPr>
          <w:color w:val="000000" w:themeColor="text1"/>
        </w:rPr>
        <w:t>,</w:t>
      </w:r>
      <w:r>
        <w:rPr>
          <w:color w:val="000000" w:themeColor="text1"/>
        </w:rPr>
        <w:t xml:space="preserve"> as well</w:t>
      </w:r>
      <w:r w:rsidR="006174A9">
        <w:rPr>
          <w:color w:val="000000" w:themeColor="text1"/>
        </w:rPr>
        <w:t xml:space="preserve">. The variables </w:t>
      </w:r>
      <w:r w:rsidR="006174A9" w:rsidRPr="002B792E">
        <w:rPr>
          <w:i/>
        </w:rPr>
        <w:t>Reliability of Infrastructure</w:t>
      </w:r>
      <w:r w:rsidR="006174A9">
        <w:rPr>
          <w:i/>
        </w:rPr>
        <w:t xml:space="preserve">, </w:t>
      </w:r>
      <w:r w:rsidR="006174A9" w:rsidRPr="002B792E">
        <w:rPr>
          <w:i/>
        </w:rPr>
        <w:t>Transparency of Information</w:t>
      </w:r>
      <w:r w:rsidR="006174A9">
        <w:rPr>
          <w:i/>
        </w:rPr>
        <w:t>,</w:t>
      </w:r>
      <w:r w:rsidR="006174A9" w:rsidRPr="006174A9">
        <w:rPr>
          <w:i/>
        </w:rPr>
        <w:t xml:space="preserve"> </w:t>
      </w:r>
      <w:r w:rsidR="006174A9" w:rsidRPr="002B792E">
        <w:rPr>
          <w:i/>
        </w:rPr>
        <w:t>Geographic Coverage</w:t>
      </w:r>
      <w:r w:rsidR="006174A9">
        <w:rPr>
          <w:i/>
        </w:rPr>
        <w:t xml:space="preserve">, and </w:t>
      </w:r>
      <w:r w:rsidR="006174A9" w:rsidRPr="002B792E">
        <w:rPr>
          <w:i/>
        </w:rPr>
        <w:t>Land Dispute Resolution</w:t>
      </w:r>
      <w:r w:rsidR="006174A9">
        <w:rPr>
          <w:i/>
        </w:rPr>
        <w:t xml:space="preserve"> </w:t>
      </w:r>
      <w:r w:rsidR="006174A9">
        <w:t xml:space="preserve">each pertain to the land administration system. </w:t>
      </w:r>
      <w:r w:rsidR="0080248E">
        <w:t xml:space="preserve">According to the literature, a high score in these areas should enhance the security of property transactions, thereby facilitating access to credit and being listed in the credit registry. As result, it </w:t>
      </w:r>
      <w:r>
        <w:t>is</w:t>
      </w:r>
      <w:r w:rsidR="0080248E">
        <w:t xml:space="preserve"> expected that the estimates for each of these variables would positively impact the dependent variable, </w:t>
      </w:r>
      <w:r>
        <w:rPr>
          <w:i/>
        </w:rPr>
        <w:t xml:space="preserve">Public </w:t>
      </w:r>
      <w:r w:rsidR="0080248E" w:rsidRPr="00D506F9">
        <w:rPr>
          <w:i/>
          <w:color w:val="000000" w:themeColor="text1"/>
        </w:rPr>
        <w:t>Credit Registry Coverage</w:t>
      </w:r>
      <w:r w:rsidR="0080248E">
        <w:rPr>
          <w:i/>
          <w:color w:val="000000" w:themeColor="text1"/>
        </w:rPr>
        <w:t xml:space="preserve">. </w:t>
      </w:r>
    </w:p>
    <w:p w14:paraId="3AB89D6E" w14:textId="77777777" w:rsidR="008B4805" w:rsidRPr="008B4805" w:rsidRDefault="008B4805" w:rsidP="008C1043">
      <w:pPr>
        <w:spacing w:line="360" w:lineRule="auto"/>
        <w:ind w:firstLine="720"/>
        <w:rPr>
          <w:color w:val="000000" w:themeColor="text1"/>
        </w:rPr>
      </w:pPr>
    </w:p>
    <w:p w14:paraId="06A7F36B" w14:textId="69C68D49" w:rsidR="00E60F88" w:rsidRDefault="0080248E" w:rsidP="008C1043">
      <w:pPr>
        <w:spacing w:line="360" w:lineRule="auto"/>
        <w:ind w:firstLine="720"/>
      </w:pPr>
      <w:r>
        <w:rPr>
          <w:color w:val="000000" w:themeColor="text1"/>
        </w:rPr>
        <w:t xml:space="preserve">While the estimates for </w:t>
      </w:r>
      <w:r w:rsidRPr="002B792E">
        <w:rPr>
          <w:i/>
        </w:rPr>
        <w:t>Transparency of Information</w:t>
      </w:r>
      <w:r>
        <w:rPr>
          <w:i/>
        </w:rPr>
        <w:t>,</w:t>
      </w:r>
      <w:r w:rsidRPr="006174A9">
        <w:rPr>
          <w:i/>
        </w:rPr>
        <w:t xml:space="preserve"> </w:t>
      </w:r>
      <w:r w:rsidRPr="002B792E">
        <w:rPr>
          <w:i/>
        </w:rPr>
        <w:t>Geographic Coverage</w:t>
      </w:r>
      <w:r>
        <w:rPr>
          <w:i/>
        </w:rPr>
        <w:t xml:space="preserve">, and </w:t>
      </w:r>
      <w:r w:rsidRPr="002B792E">
        <w:rPr>
          <w:i/>
        </w:rPr>
        <w:t>Land Dispute Resolution</w:t>
      </w:r>
      <w:r>
        <w:rPr>
          <w:i/>
        </w:rPr>
        <w:t xml:space="preserve"> </w:t>
      </w:r>
      <w:r>
        <w:t xml:space="preserve">reveal a positive impact on </w:t>
      </w:r>
      <w:r w:rsidR="001A2B54">
        <w:rPr>
          <w:i/>
        </w:rPr>
        <w:t xml:space="preserve">Public </w:t>
      </w:r>
      <w:r w:rsidRPr="00D506F9">
        <w:rPr>
          <w:i/>
          <w:color w:val="000000" w:themeColor="text1"/>
        </w:rPr>
        <w:t>Credit Registry Coverage</w:t>
      </w:r>
      <w:r>
        <w:rPr>
          <w:i/>
          <w:color w:val="000000" w:themeColor="text1"/>
        </w:rPr>
        <w:t xml:space="preserve">, </w:t>
      </w:r>
      <w:r>
        <w:rPr>
          <w:color w:val="000000" w:themeColor="text1"/>
        </w:rPr>
        <w:t xml:space="preserve">the regression results reveal </w:t>
      </w:r>
      <w:r w:rsidRPr="002B792E">
        <w:rPr>
          <w:i/>
        </w:rPr>
        <w:t>Reliability of Infrastructure</w:t>
      </w:r>
      <w:r>
        <w:rPr>
          <w:i/>
        </w:rPr>
        <w:t xml:space="preserve"> </w:t>
      </w:r>
      <w:r>
        <w:t xml:space="preserve">as having a negative impact on the </w:t>
      </w:r>
      <w:r w:rsidR="008B4805">
        <w:rPr>
          <w:i/>
        </w:rPr>
        <w:t xml:space="preserve">Public </w:t>
      </w:r>
      <w:r w:rsidRPr="00D506F9">
        <w:rPr>
          <w:i/>
          <w:color w:val="000000" w:themeColor="text1"/>
        </w:rPr>
        <w:t>Credit Registry Coverage</w:t>
      </w:r>
      <w:r>
        <w:rPr>
          <w:i/>
          <w:color w:val="000000" w:themeColor="text1"/>
        </w:rPr>
        <w:t xml:space="preserve">. </w:t>
      </w:r>
      <w:r w:rsidR="00E60F88">
        <w:rPr>
          <w:color w:val="000000" w:themeColor="text1"/>
        </w:rPr>
        <w:t>This finding is not only unexpected</w:t>
      </w:r>
      <w:r w:rsidR="009B58BE">
        <w:rPr>
          <w:color w:val="000000" w:themeColor="text1"/>
        </w:rPr>
        <w:t xml:space="preserve"> </w:t>
      </w:r>
      <w:r w:rsidR="00E60F88">
        <w:rPr>
          <w:color w:val="000000" w:themeColor="text1"/>
        </w:rPr>
        <w:t xml:space="preserve">but </w:t>
      </w:r>
      <w:r w:rsidR="008B4805">
        <w:rPr>
          <w:color w:val="000000" w:themeColor="text1"/>
        </w:rPr>
        <w:t>also un</w:t>
      </w:r>
      <w:r w:rsidR="00E60F88">
        <w:rPr>
          <w:color w:val="000000" w:themeColor="text1"/>
        </w:rPr>
        <w:t xml:space="preserve">aligned with the findings from the literature review. However, a study conducted by the London School of Economics may </w:t>
      </w:r>
      <w:r w:rsidR="008B4805">
        <w:rPr>
          <w:color w:val="000000" w:themeColor="text1"/>
        </w:rPr>
        <w:t xml:space="preserve">serve to </w:t>
      </w:r>
      <w:r w:rsidR="00E60F88">
        <w:rPr>
          <w:color w:val="000000" w:themeColor="text1"/>
        </w:rPr>
        <w:t xml:space="preserve">offer an explanation for this unexpected finding. According to Besley and Ghatak (2009), the economic efficiency of improving </w:t>
      </w:r>
      <w:r w:rsidR="008C1043">
        <w:rPr>
          <w:color w:val="000000" w:themeColor="text1"/>
        </w:rPr>
        <w:t>the security of property</w:t>
      </w:r>
      <w:r w:rsidR="00E60F88">
        <w:rPr>
          <w:color w:val="000000" w:themeColor="text1"/>
        </w:rPr>
        <w:t xml:space="preserve"> rights </w:t>
      </w:r>
      <w:r w:rsidR="0011015D">
        <w:rPr>
          <w:color w:val="000000" w:themeColor="text1"/>
        </w:rPr>
        <w:t xml:space="preserve">is shown to be </w:t>
      </w:r>
      <w:r w:rsidR="00E60F88">
        <w:rPr>
          <w:color w:val="000000" w:themeColor="text1"/>
        </w:rPr>
        <w:t xml:space="preserve">dependent on the </w:t>
      </w:r>
      <w:r w:rsidR="0011015D">
        <w:rPr>
          <w:color w:val="000000" w:themeColor="text1"/>
        </w:rPr>
        <w:t>existence of market competition. According to their findings, in</w:t>
      </w:r>
      <w:r w:rsidR="0011015D" w:rsidRPr="0006296B">
        <w:t xml:space="preserve"> the absence of competition, </w:t>
      </w:r>
      <w:r w:rsidR="0011015D">
        <w:t>improving property rights</w:t>
      </w:r>
      <w:r w:rsidR="0011015D" w:rsidRPr="0006296B">
        <w:t xml:space="preserve"> </w:t>
      </w:r>
      <w:r w:rsidR="0011015D">
        <w:t>“</w:t>
      </w:r>
      <w:r w:rsidR="0011015D" w:rsidRPr="0006296B">
        <w:t>increases the prospect of exploitation of borrowers by lenders</w:t>
      </w:r>
      <w:r w:rsidR="008B4805">
        <w:t>.</w:t>
      </w:r>
      <w:r w:rsidR="0011015D" w:rsidRPr="0011015D">
        <w:rPr>
          <w:rStyle w:val="Hyperlink"/>
          <w:color w:val="000000" w:themeColor="text1"/>
          <w:u w:val="none"/>
        </w:rPr>
        <w:t>”</w:t>
      </w:r>
      <w:r w:rsidR="008B4805" w:rsidRPr="0011015D">
        <w:rPr>
          <w:rStyle w:val="FootnoteReference"/>
          <w:color w:val="000000" w:themeColor="text1"/>
        </w:rPr>
        <w:footnoteReference w:id="59"/>
      </w:r>
      <w:r w:rsidR="008B4805">
        <w:rPr>
          <w:rStyle w:val="Hyperlink"/>
          <w:color w:val="000000" w:themeColor="text1"/>
          <w:u w:val="none"/>
        </w:rPr>
        <w:t xml:space="preserve"> </w:t>
      </w:r>
      <w:r w:rsidR="0011015D" w:rsidRPr="0011015D">
        <w:rPr>
          <w:rStyle w:val="Hyperlink"/>
          <w:color w:val="000000" w:themeColor="text1"/>
          <w:u w:val="none"/>
        </w:rPr>
        <w:t xml:space="preserve"> </w:t>
      </w:r>
      <w:r w:rsidR="008B4805">
        <w:rPr>
          <w:rStyle w:val="Hyperlink"/>
          <w:color w:val="000000" w:themeColor="text1"/>
          <w:u w:val="none"/>
        </w:rPr>
        <w:t xml:space="preserve">Intuitively, </w:t>
      </w:r>
      <w:r w:rsidR="009B58BE">
        <w:rPr>
          <w:rStyle w:val="Hyperlink"/>
          <w:color w:val="000000" w:themeColor="text1"/>
          <w:u w:val="none"/>
        </w:rPr>
        <w:t xml:space="preserve">the </w:t>
      </w:r>
      <w:r w:rsidR="008B4805">
        <w:rPr>
          <w:rStyle w:val="Hyperlink"/>
          <w:color w:val="000000" w:themeColor="text1"/>
          <w:u w:val="none"/>
        </w:rPr>
        <w:t>prospect of exploitation would</w:t>
      </w:r>
      <w:r w:rsidR="0011015D" w:rsidRPr="0011015D">
        <w:rPr>
          <w:rStyle w:val="Hyperlink"/>
          <w:color w:val="000000" w:themeColor="text1"/>
          <w:u w:val="none"/>
        </w:rPr>
        <w:t xml:space="preserve"> </w:t>
      </w:r>
      <w:r w:rsidR="008B4805">
        <w:rPr>
          <w:rStyle w:val="Hyperlink"/>
          <w:color w:val="000000" w:themeColor="text1"/>
          <w:u w:val="none"/>
        </w:rPr>
        <w:t>have a negative</w:t>
      </w:r>
      <w:r w:rsidR="0011015D" w:rsidRPr="0011015D">
        <w:rPr>
          <w:rStyle w:val="Hyperlink"/>
          <w:color w:val="000000" w:themeColor="text1"/>
          <w:u w:val="none"/>
        </w:rPr>
        <w:t xml:space="preserve"> impact </w:t>
      </w:r>
      <w:r w:rsidR="008B4805">
        <w:rPr>
          <w:rStyle w:val="Hyperlink"/>
          <w:color w:val="000000" w:themeColor="text1"/>
          <w:u w:val="none"/>
        </w:rPr>
        <w:t xml:space="preserve">on </w:t>
      </w:r>
      <w:r w:rsidR="0011015D" w:rsidRPr="0011015D">
        <w:rPr>
          <w:rStyle w:val="Hyperlink"/>
          <w:color w:val="000000" w:themeColor="text1"/>
          <w:u w:val="none"/>
        </w:rPr>
        <w:t>credit access.</w:t>
      </w:r>
      <w:r w:rsidR="008C1043">
        <w:rPr>
          <w:rStyle w:val="Hyperlink"/>
          <w:color w:val="000000" w:themeColor="text1"/>
          <w:u w:val="none"/>
        </w:rPr>
        <w:t xml:space="preserve"> </w:t>
      </w:r>
    </w:p>
    <w:p w14:paraId="72F7D8B4" w14:textId="77777777" w:rsidR="008C1043" w:rsidRPr="005B07BF" w:rsidRDefault="008C1043" w:rsidP="008C1043">
      <w:pPr>
        <w:spacing w:line="360" w:lineRule="auto"/>
        <w:ind w:firstLine="720"/>
        <w:rPr>
          <w:sz w:val="22"/>
        </w:rPr>
      </w:pPr>
    </w:p>
    <w:p w14:paraId="5D355C92" w14:textId="5198E801" w:rsidR="00E60F88" w:rsidRDefault="0080248E" w:rsidP="00485A7E">
      <w:pPr>
        <w:spacing w:line="360" w:lineRule="auto"/>
        <w:ind w:firstLine="720"/>
        <w:rPr>
          <w:color w:val="000000" w:themeColor="text1"/>
        </w:rPr>
      </w:pPr>
      <w:r>
        <w:rPr>
          <w:color w:val="000000" w:themeColor="text1"/>
        </w:rPr>
        <w:t xml:space="preserve">Additionally, the estimates for the confounding variables included in the model </w:t>
      </w:r>
      <w:r w:rsidR="00E60F88">
        <w:rPr>
          <w:color w:val="000000" w:themeColor="text1"/>
        </w:rPr>
        <w:t xml:space="preserve">also </w:t>
      </w:r>
      <w:r>
        <w:rPr>
          <w:color w:val="000000" w:themeColor="text1"/>
        </w:rPr>
        <w:t xml:space="preserve">reveal </w:t>
      </w:r>
      <w:r>
        <w:rPr>
          <w:i/>
          <w:color w:val="000000" w:themeColor="text1"/>
        </w:rPr>
        <w:t xml:space="preserve">Population </w:t>
      </w:r>
      <w:r>
        <w:rPr>
          <w:color w:val="000000" w:themeColor="text1"/>
        </w:rPr>
        <w:t xml:space="preserve">and </w:t>
      </w:r>
      <w:r>
        <w:rPr>
          <w:i/>
          <w:color w:val="000000" w:themeColor="text1"/>
        </w:rPr>
        <w:t xml:space="preserve">Rural Population </w:t>
      </w:r>
      <w:r>
        <w:rPr>
          <w:color w:val="000000" w:themeColor="text1"/>
        </w:rPr>
        <w:t xml:space="preserve">to have a negative impact on </w:t>
      </w:r>
      <w:r w:rsidR="008B4805">
        <w:rPr>
          <w:i/>
          <w:color w:val="000000" w:themeColor="text1"/>
        </w:rPr>
        <w:t xml:space="preserve">Public </w:t>
      </w:r>
      <w:r w:rsidRPr="00D506F9">
        <w:rPr>
          <w:i/>
          <w:color w:val="000000" w:themeColor="text1"/>
        </w:rPr>
        <w:t>Credit Registry Coverage</w:t>
      </w:r>
      <w:r>
        <w:rPr>
          <w:i/>
          <w:color w:val="000000" w:themeColor="text1"/>
        </w:rPr>
        <w:t xml:space="preserve">. </w:t>
      </w:r>
      <w:r w:rsidR="008B4805">
        <w:rPr>
          <w:color w:val="000000" w:themeColor="text1"/>
        </w:rPr>
        <w:t>Regarding</w:t>
      </w:r>
      <w:r>
        <w:rPr>
          <w:color w:val="000000" w:themeColor="text1"/>
        </w:rPr>
        <w:t xml:space="preserve"> </w:t>
      </w:r>
      <w:r>
        <w:rPr>
          <w:i/>
          <w:color w:val="000000" w:themeColor="text1"/>
        </w:rPr>
        <w:t>Population</w:t>
      </w:r>
      <w:r>
        <w:rPr>
          <w:color w:val="000000" w:themeColor="text1"/>
        </w:rPr>
        <w:t xml:space="preserve">’s negative impact on </w:t>
      </w:r>
      <w:r w:rsidR="008B4805">
        <w:rPr>
          <w:i/>
          <w:color w:val="000000" w:themeColor="text1"/>
        </w:rPr>
        <w:t xml:space="preserve">Public </w:t>
      </w:r>
      <w:r w:rsidRPr="00D506F9">
        <w:rPr>
          <w:i/>
          <w:color w:val="000000" w:themeColor="text1"/>
        </w:rPr>
        <w:t>Credit Registry Coverage</w:t>
      </w:r>
      <w:r>
        <w:rPr>
          <w:i/>
          <w:color w:val="000000" w:themeColor="text1"/>
        </w:rPr>
        <w:t xml:space="preserve">, </w:t>
      </w:r>
      <w:r>
        <w:rPr>
          <w:color w:val="000000" w:themeColor="text1"/>
        </w:rPr>
        <w:t xml:space="preserve">a possible explanation for this is that a larger population size would necessitate a greater institutional capacity to maintain the credit registry. </w:t>
      </w:r>
      <w:r w:rsidR="008B4805">
        <w:rPr>
          <w:color w:val="000000" w:themeColor="text1"/>
        </w:rPr>
        <w:t xml:space="preserve">Many countries lack such capacity, especially in a developing context. </w:t>
      </w:r>
      <w:r>
        <w:rPr>
          <w:color w:val="000000" w:themeColor="text1"/>
        </w:rPr>
        <w:t xml:space="preserve">Similarly, the greater extent to which a population is defined by rurality </w:t>
      </w:r>
      <w:r w:rsidR="00E60F88">
        <w:rPr>
          <w:color w:val="000000" w:themeColor="text1"/>
        </w:rPr>
        <w:t>can</w:t>
      </w:r>
      <w:r>
        <w:rPr>
          <w:color w:val="000000" w:themeColor="text1"/>
        </w:rPr>
        <w:t xml:space="preserve"> also lead to increased coordination and coverage issues</w:t>
      </w:r>
      <w:r w:rsidR="00E60F88">
        <w:rPr>
          <w:color w:val="000000" w:themeColor="text1"/>
        </w:rPr>
        <w:t xml:space="preserve"> as the credit registry must service geographically</w:t>
      </w:r>
      <w:r w:rsidR="009B58BE">
        <w:rPr>
          <w:color w:val="000000" w:themeColor="text1"/>
        </w:rPr>
        <w:t xml:space="preserve"> </w:t>
      </w:r>
      <w:r w:rsidR="00E60F88">
        <w:rPr>
          <w:color w:val="000000" w:themeColor="text1"/>
        </w:rPr>
        <w:t xml:space="preserve">disadvantaged areas. </w:t>
      </w:r>
      <w:r w:rsidR="008C1043">
        <w:rPr>
          <w:color w:val="000000" w:themeColor="text1"/>
        </w:rPr>
        <w:t>According to the World Bank, with a high presence of rurality, “</w:t>
      </w:r>
      <w:r w:rsidR="008C1043" w:rsidRPr="0006296B">
        <w:rPr>
          <w:color w:val="000000" w:themeColor="text1"/>
        </w:rPr>
        <w:t xml:space="preserve">the unit cost of delivering most social services and many types of infrastructure is </w:t>
      </w:r>
      <w:r w:rsidR="008C1043" w:rsidRPr="0006296B">
        <w:rPr>
          <w:color w:val="000000" w:themeColor="text1"/>
        </w:rPr>
        <w:lastRenderedPageBreak/>
        <w:t>high</w:t>
      </w:r>
      <w:r w:rsidR="008C1043">
        <w:rPr>
          <w:color w:val="000000" w:themeColor="text1"/>
        </w:rPr>
        <w:t>.”</w:t>
      </w:r>
      <w:r w:rsidR="008C1043">
        <w:rPr>
          <w:rStyle w:val="FootnoteReference"/>
          <w:color w:val="000000" w:themeColor="text1"/>
        </w:rPr>
        <w:footnoteReference w:id="60"/>
      </w:r>
      <w:r w:rsidR="008C1043">
        <w:rPr>
          <w:color w:val="000000" w:themeColor="text1"/>
        </w:rPr>
        <w:t xml:space="preserve"> It is possible that the negative estimation of </w:t>
      </w:r>
      <w:r w:rsidR="008B4805">
        <w:rPr>
          <w:i/>
          <w:color w:val="000000" w:themeColor="text1"/>
        </w:rPr>
        <w:t xml:space="preserve">Rural Population </w:t>
      </w:r>
      <w:r w:rsidR="008C1043">
        <w:rPr>
          <w:color w:val="000000" w:themeColor="text1"/>
        </w:rPr>
        <w:t xml:space="preserve">may also be interacting with the estimation of </w:t>
      </w:r>
      <w:r w:rsidR="008B4805" w:rsidRPr="002B792E">
        <w:rPr>
          <w:i/>
        </w:rPr>
        <w:t>Reliability of Infrastructure</w:t>
      </w:r>
      <w:r w:rsidR="008B4805">
        <w:rPr>
          <w:i/>
        </w:rPr>
        <w:t xml:space="preserve"> </w:t>
      </w:r>
      <w:r w:rsidR="008C1043">
        <w:rPr>
          <w:color w:val="000000" w:themeColor="text1"/>
        </w:rPr>
        <w:t xml:space="preserve">as it </w:t>
      </w:r>
      <w:r w:rsidR="008B4805">
        <w:rPr>
          <w:color w:val="000000" w:themeColor="text1"/>
        </w:rPr>
        <w:t>concerns</w:t>
      </w:r>
      <w:r w:rsidR="008C1043">
        <w:rPr>
          <w:color w:val="000000" w:themeColor="text1"/>
        </w:rPr>
        <w:t xml:space="preserve"> infrastructure.</w:t>
      </w:r>
    </w:p>
    <w:p w14:paraId="059A4463" w14:textId="77777777" w:rsidR="008B4805" w:rsidRPr="005B07BF" w:rsidRDefault="008B4805" w:rsidP="00485A7E">
      <w:pPr>
        <w:spacing w:line="360" w:lineRule="auto"/>
        <w:ind w:firstLine="720"/>
        <w:rPr>
          <w:color w:val="000000" w:themeColor="text1"/>
          <w:sz w:val="22"/>
        </w:rPr>
      </w:pPr>
    </w:p>
    <w:p w14:paraId="6638B9E8" w14:textId="395B18F0" w:rsidR="006174A9" w:rsidRDefault="00F37426" w:rsidP="00E60F88">
      <w:pPr>
        <w:pStyle w:val="ListParagraph"/>
        <w:spacing w:line="360" w:lineRule="auto"/>
        <w:ind w:left="0" w:firstLine="720"/>
        <w:rPr>
          <w:color w:val="000000" w:themeColor="text1"/>
        </w:rPr>
      </w:pPr>
      <w:r>
        <w:rPr>
          <w:color w:val="000000" w:themeColor="text1"/>
        </w:rPr>
        <w:t>To</w:t>
      </w:r>
      <w:r w:rsidR="00841918" w:rsidRPr="00F37426">
        <w:rPr>
          <w:color w:val="000000" w:themeColor="text1"/>
        </w:rPr>
        <w:t xml:space="preserve"> adjust </w:t>
      </w:r>
      <w:r w:rsidR="008B4805">
        <w:rPr>
          <w:color w:val="000000" w:themeColor="text1"/>
        </w:rPr>
        <w:t xml:space="preserve">for potential </w:t>
      </w:r>
      <w:r w:rsidR="00841918" w:rsidRPr="00F37426">
        <w:rPr>
          <w:color w:val="000000" w:themeColor="text1"/>
        </w:rPr>
        <w:t xml:space="preserve">issues </w:t>
      </w:r>
      <w:r w:rsidR="008B4805">
        <w:rPr>
          <w:color w:val="000000" w:themeColor="text1"/>
        </w:rPr>
        <w:t>that are arising from</w:t>
      </w:r>
      <w:r w:rsidR="00841918" w:rsidRPr="00F37426">
        <w:rPr>
          <w:color w:val="000000" w:themeColor="text1"/>
        </w:rPr>
        <w:t xml:space="preserve"> </w:t>
      </w:r>
      <w:r w:rsidR="008B4805">
        <w:rPr>
          <w:color w:val="000000" w:themeColor="text1"/>
        </w:rPr>
        <w:t>the</w:t>
      </w:r>
      <w:r w:rsidR="00841918" w:rsidRPr="00F37426">
        <w:rPr>
          <w:color w:val="000000" w:themeColor="text1"/>
        </w:rPr>
        <w:t xml:space="preserve"> data</w:t>
      </w:r>
      <w:r w:rsidR="008B4805">
        <w:rPr>
          <w:color w:val="000000" w:themeColor="text1"/>
        </w:rPr>
        <w:t xml:space="preserve"> and impacting the</w:t>
      </w:r>
      <w:r w:rsidR="00841918" w:rsidRPr="00F37426">
        <w:rPr>
          <w:color w:val="000000" w:themeColor="text1"/>
        </w:rPr>
        <w:t xml:space="preserve"> regression results, a natural</w:t>
      </w:r>
      <w:r w:rsidR="009B58BE">
        <w:rPr>
          <w:color w:val="000000" w:themeColor="text1"/>
        </w:rPr>
        <w:t>-</w:t>
      </w:r>
      <w:r w:rsidR="00841918" w:rsidRPr="00F37426">
        <w:rPr>
          <w:color w:val="000000" w:themeColor="text1"/>
        </w:rPr>
        <w:t xml:space="preserve">logarithmic transformation was applied to </w:t>
      </w:r>
      <w:r w:rsidR="008B4805">
        <w:rPr>
          <w:color w:val="000000" w:themeColor="text1"/>
        </w:rPr>
        <w:t xml:space="preserve">each of </w:t>
      </w:r>
      <w:r w:rsidR="00841918" w:rsidRPr="00F37426">
        <w:rPr>
          <w:color w:val="000000" w:themeColor="text1"/>
        </w:rPr>
        <w:t>the independent variables.</w:t>
      </w:r>
      <w:r>
        <w:rPr>
          <w:color w:val="000000" w:themeColor="text1"/>
        </w:rPr>
        <w:t xml:space="preserve"> Applying </w:t>
      </w:r>
      <w:r w:rsidR="008B4805">
        <w:rPr>
          <w:color w:val="000000" w:themeColor="text1"/>
        </w:rPr>
        <w:t>the</w:t>
      </w:r>
      <w:r>
        <w:rPr>
          <w:color w:val="000000" w:themeColor="text1"/>
        </w:rPr>
        <w:t xml:space="preserve"> natural log helps to compress the scale of the variables and </w:t>
      </w:r>
      <w:r w:rsidR="008B4805">
        <w:rPr>
          <w:color w:val="000000" w:themeColor="text1"/>
        </w:rPr>
        <w:t xml:space="preserve">to </w:t>
      </w:r>
      <w:r>
        <w:rPr>
          <w:color w:val="000000" w:themeColor="text1"/>
        </w:rPr>
        <w:t>simplify the number of interaction terms</w:t>
      </w:r>
      <w:r w:rsidR="008B4805">
        <w:rPr>
          <w:color w:val="000000" w:themeColor="text1"/>
        </w:rPr>
        <w:t xml:space="preserve"> among them</w:t>
      </w:r>
      <w:r>
        <w:rPr>
          <w:color w:val="000000" w:themeColor="text1"/>
        </w:rPr>
        <w:t>. A</w:t>
      </w:r>
      <w:r w:rsidR="008B4805">
        <w:rPr>
          <w:color w:val="000000" w:themeColor="text1"/>
        </w:rPr>
        <w:t>fter computing the log-transformation,</w:t>
      </w:r>
      <w:r>
        <w:rPr>
          <w:color w:val="000000" w:themeColor="text1"/>
        </w:rPr>
        <w:t xml:space="preserve"> </w:t>
      </w:r>
      <w:r w:rsidR="008B4805">
        <w:rPr>
          <w:color w:val="000000" w:themeColor="text1"/>
        </w:rPr>
        <w:t xml:space="preserve">a </w:t>
      </w:r>
      <w:r>
        <w:rPr>
          <w:color w:val="000000" w:themeColor="text1"/>
        </w:rPr>
        <w:t xml:space="preserve">second OLS regression was run using </w:t>
      </w:r>
      <w:r w:rsidR="008B4805">
        <w:rPr>
          <w:color w:val="000000" w:themeColor="text1"/>
        </w:rPr>
        <w:t xml:space="preserve">the </w:t>
      </w:r>
      <w:r>
        <w:rPr>
          <w:color w:val="000000" w:themeColor="text1"/>
        </w:rPr>
        <w:t xml:space="preserve">log-adjusted explanatory variables to predict </w:t>
      </w:r>
      <w:r w:rsidR="008B4805">
        <w:rPr>
          <w:color w:val="000000" w:themeColor="text1"/>
        </w:rPr>
        <w:t>the same dependent variable,</w:t>
      </w:r>
      <w:r w:rsidR="008B4805" w:rsidRPr="008B4805">
        <w:rPr>
          <w:i/>
          <w:color w:val="000000" w:themeColor="text1"/>
        </w:rPr>
        <w:t xml:space="preserve"> </w:t>
      </w:r>
      <w:r w:rsidR="008B4805">
        <w:rPr>
          <w:i/>
          <w:color w:val="000000" w:themeColor="text1"/>
        </w:rPr>
        <w:t xml:space="preserve">Public </w:t>
      </w:r>
      <w:r w:rsidR="008B4805" w:rsidRPr="00D506F9">
        <w:rPr>
          <w:i/>
          <w:color w:val="000000" w:themeColor="text1"/>
        </w:rPr>
        <w:t>Credit Registry Coverage</w:t>
      </w:r>
      <w:r>
        <w:rPr>
          <w:color w:val="000000" w:themeColor="text1"/>
        </w:rPr>
        <w:t xml:space="preserve">. </w:t>
      </w:r>
      <w:r w:rsidR="00841918" w:rsidRPr="00F37426">
        <w:rPr>
          <w:color w:val="000000" w:themeColor="text1"/>
        </w:rPr>
        <w:t>Ideally, applying a log-transformation to the</w:t>
      </w:r>
      <w:r w:rsidR="00265521" w:rsidRPr="00F37426">
        <w:rPr>
          <w:color w:val="000000" w:themeColor="text1"/>
        </w:rPr>
        <w:t xml:space="preserve"> predictor</w:t>
      </w:r>
      <w:r w:rsidR="00841918" w:rsidRPr="00F37426">
        <w:rPr>
          <w:color w:val="000000" w:themeColor="text1"/>
        </w:rPr>
        <w:t xml:space="preserve"> variables will allow </w:t>
      </w:r>
      <w:r w:rsidR="00265521" w:rsidRPr="00F37426">
        <w:rPr>
          <w:color w:val="000000" w:themeColor="text1"/>
        </w:rPr>
        <w:t xml:space="preserve">for a </w:t>
      </w:r>
      <w:r w:rsidR="00841918" w:rsidRPr="00F37426">
        <w:rPr>
          <w:color w:val="000000" w:themeColor="text1"/>
        </w:rPr>
        <w:t>better</w:t>
      </w:r>
      <w:r w:rsidR="009B58BE">
        <w:rPr>
          <w:color w:val="000000" w:themeColor="text1"/>
        </w:rPr>
        <w:t xml:space="preserve"> regression</w:t>
      </w:r>
      <w:r w:rsidR="00841918" w:rsidRPr="00F37426">
        <w:rPr>
          <w:color w:val="000000" w:themeColor="text1"/>
        </w:rPr>
        <w:t xml:space="preserve"> </w:t>
      </w:r>
      <w:r w:rsidR="00265521" w:rsidRPr="00F37426">
        <w:rPr>
          <w:color w:val="000000" w:themeColor="text1"/>
        </w:rPr>
        <w:t>analysis</w:t>
      </w:r>
      <w:r>
        <w:rPr>
          <w:color w:val="000000" w:themeColor="text1"/>
        </w:rPr>
        <w:t xml:space="preserve"> by revealing the true </w:t>
      </w:r>
      <w:r w:rsidR="00841918" w:rsidRPr="00F37426">
        <w:rPr>
          <w:color w:val="000000" w:themeColor="text1"/>
        </w:rPr>
        <w:t xml:space="preserve">structure </w:t>
      </w:r>
      <w:r>
        <w:rPr>
          <w:color w:val="000000" w:themeColor="text1"/>
        </w:rPr>
        <w:t xml:space="preserve">of the data </w:t>
      </w:r>
      <w:r w:rsidR="00841918" w:rsidRPr="00F37426">
        <w:rPr>
          <w:color w:val="000000" w:themeColor="text1"/>
        </w:rPr>
        <w:t>in the regression results</w:t>
      </w:r>
      <w:r w:rsidR="00265521" w:rsidRPr="00F37426">
        <w:rPr>
          <w:color w:val="000000" w:themeColor="text1"/>
        </w:rPr>
        <w:t>.</w:t>
      </w:r>
      <w:r w:rsidR="00841918" w:rsidRPr="00F37426">
        <w:rPr>
          <w:color w:val="000000" w:themeColor="text1"/>
        </w:rPr>
        <w:t xml:space="preserve"> </w:t>
      </w:r>
      <w:r w:rsidR="00265521" w:rsidRPr="00F37426">
        <w:rPr>
          <w:color w:val="000000" w:themeColor="text1"/>
        </w:rPr>
        <w:t xml:space="preserve">The following section describes the </w:t>
      </w:r>
      <w:r>
        <w:rPr>
          <w:color w:val="000000" w:themeColor="text1"/>
        </w:rPr>
        <w:t>results of the log-adjusted regression model.</w:t>
      </w:r>
    </w:p>
    <w:p w14:paraId="4ADEF825" w14:textId="77777777" w:rsidR="00E60F88" w:rsidRPr="005B07BF" w:rsidRDefault="00E60F88" w:rsidP="00E60F88">
      <w:pPr>
        <w:spacing w:line="360" w:lineRule="auto"/>
        <w:rPr>
          <w:color w:val="000000" w:themeColor="text1"/>
          <w:sz w:val="21"/>
        </w:rPr>
      </w:pPr>
    </w:p>
    <w:p w14:paraId="2FE3CE44" w14:textId="77777777" w:rsidR="00684FD3" w:rsidRDefault="00684FD3" w:rsidP="00675D94">
      <w:pPr>
        <w:pStyle w:val="Heading2"/>
        <w:tabs>
          <w:tab w:val="left" w:pos="3708"/>
        </w:tabs>
        <w:spacing w:line="360" w:lineRule="auto"/>
        <w:rPr>
          <w:rFonts w:ascii="Rockwell" w:hAnsi="Rockwell"/>
        </w:rPr>
      </w:pPr>
      <w:bookmarkStart w:id="24" w:name="_Toc78045093"/>
      <w:r w:rsidRPr="00684FD3">
        <w:rPr>
          <w:rFonts w:ascii="Rockwell" w:hAnsi="Rockwell"/>
        </w:rPr>
        <w:t>5.</w:t>
      </w:r>
      <w:r>
        <w:rPr>
          <w:rFonts w:ascii="Rockwell" w:hAnsi="Rockwell"/>
        </w:rPr>
        <w:t>2</w:t>
      </w:r>
      <w:r w:rsidRPr="00684FD3">
        <w:rPr>
          <w:rFonts w:ascii="Rockwell" w:hAnsi="Rockwell"/>
        </w:rPr>
        <w:t xml:space="preserve"> </w:t>
      </w:r>
      <w:r w:rsidR="00EB1B40">
        <w:rPr>
          <w:rFonts w:ascii="Rockwell" w:hAnsi="Rockwell"/>
        </w:rPr>
        <w:t>Log-Adjusted</w:t>
      </w:r>
      <w:r w:rsidR="00EB5698">
        <w:rPr>
          <w:rFonts w:ascii="Rockwell" w:hAnsi="Rockwell"/>
        </w:rPr>
        <w:t xml:space="preserve"> </w:t>
      </w:r>
      <w:r w:rsidRPr="00684FD3">
        <w:rPr>
          <w:rFonts w:ascii="Rockwell" w:hAnsi="Rockwell"/>
        </w:rPr>
        <w:t>Regression</w:t>
      </w:r>
      <w:bookmarkEnd w:id="24"/>
      <w:r w:rsidRPr="00684FD3">
        <w:rPr>
          <w:rFonts w:ascii="Rockwell" w:hAnsi="Rockwell"/>
        </w:rPr>
        <w:t xml:space="preserve"> </w:t>
      </w:r>
      <w:r w:rsidR="00784600">
        <w:rPr>
          <w:rFonts w:ascii="Rockwell" w:hAnsi="Rockwell"/>
        </w:rPr>
        <w:tab/>
      </w:r>
    </w:p>
    <w:p w14:paraId="42F42217" w14:textId="499E07A4" w:rsidR="0046506F" w:rsidRDefault="000C31C2" w:rsidP="0046506F">
      <w:pPr>
        <w:spacing w:line="360" w:lineRule="auto"/>
        <w:ind w:firstLine="720"/>
      </w:pPr>
      <w:r>
        <w:t xml:space="preserve">Directly below, </w:t>
      </w:r>
      <w:r w:rsidRPr="000C31C2">
        <w:rPr>
          <w:i/>
        </w:rPr>
        <w:t xml:space="preserve">Table </w:t>
      </w:r>
      <w:r>
        <w:rPr>
          <w:i/>
        </w:rPr>
        <w:t>3</w:t>
      </w:r>
      <w:r>
        <w:t xml:space="preserve"> displays the model fit from running the </w:t>
      </w:r>
      <w:r w:rsidR="005B07BF">
        <w:t>log-adjusted</w:t>
      </w:r>
      <w:r>
        <w:t xml:space="preserve"> OLS regression.</w:t>
      </w:r>
      <w:r w:rsidRPr="000C31C2">
        <w:t xml:space="preserve"> </w:t>
      </w:r>
      <w:r>
        <w:t>The overall R</w:t>
      </w:r>
      <w:r>
        <w:rPr>
          <w:vertAlign w:val="superscript"/>
        </w:rPr>
        <w:t>2</w:t>
      </w:r>
      <w:r>
        <w:t xml:space="preserve"> value of the model is 0.7474. This indicates that the regression model and the predictor variables are able to explain 74.74% of the variation in the response variable. As a result, the explanatory power of the model increased during the second regression as a result of the log-transformation of the independent variables. The </w:t>
      </w:r>
      <w:r w:rsidR="00701123">
        <w:t>adjusted R</w:t>
      </w:r>
      <w:r w:rsidR="00701123">
        <w:rPr>
          <w:vertAlign w:val="superscript"/>
        </w:rPr>
        <w:t>2</w:t>
      </w:r>
      <w:r w:rsidR="00701123">
        <w:t xml:space="preserve"> value of the model is 0.6815. </w:t>
      </w:r>
      <w:r w:rsidR="005B07BF">
        <w:t>Similar to the results of the initial regression, the RSS value for the log-adjusted regression is considered high. However, an improvement in RSS can be noted as the RSS value decreased from the initial regression as a result of the log</w:t>
      </w:r>
      <w:r w:rsidR="009B58BE">
        <w:t>-</w:t>
      </w:r>
      <w:r w:rsidR="005B07BF">
        <w:t xml:space="preserve">transformation. </w:t>
      </w:r>
    </w:p>
    <w:p w14:paraId="4F41D04A" w14:textId="77777777" w:rsidR="005B07BF" w:rsidRPr="005B07BF" w:rsidRDefault="005B07BF" w:rsidP="0046506F">
      <w:pPr>
        <w:spacing w:line="360" w:lineRule="auto"/>
        <w:ind w:firstLine="720"/>
        <w:rPr>
          <w:sz w:val="13"/>
        </w:rPr>
      </w:pPr>
    </w:p>
    <w:p w14:paraId="050D6EA4" w14:textId="77777777" w:rsidR="005145CE" w:rsidRPr="005145CE" w:rsidRDefault="005145CE" w:rsidP="0046506F">
      <w:pPr>
        <w:pStyle w:val="Heading3"/>
        <w:spacing w:line="360" w:lineRule="auto"/>
        <w:ind w:left="2160"/>
        <w:rPr>
          <w:rFonts w:ascii="Times New Roman" w:hAnsi="Times New Roman" w:cs="Times New Roman"/>
          <w:i/>
          <w:color w:val="4472C4" w:themeColor="accent1"/>
        </w:rPr>
      </w:pPr>
      <w:bookmarkStart w:id="25" w:name="_Toc78045094"/>
      <w:r w:rsidRPr="006B1441">
        <w:rPr>
          <w:rFonts w:ascii="Times New Roman" w:hAnsi="Times New Roman" w:cs="Times New Roman"/>
          <w:i/>
          <w:color w:val="4472C4" w:themeColor="accent1"/>
        </w:rPr>
        <w:t xml:space="preserve">Table </w:t>
      </w:r>
      <w:r>
        <w:rPr>
          <w:rFonts w:ascii="Times New Roman" w:hAnsi="Times New Roman" w:cs="Times New Roman"/>
          <w:i/>
          <w:color w:val="4472C4" w:themeColor="accent1"/>
        </w:rPr>
        <w:t>3</w:t>
      </w:r>
      <w:r w:rsidRPr="006B1441">
        <w:rPr>
          <w:rFonts w:ascii="Times New Roman" w:hAnsi="Times New Roman" w:cs="Times New Roman"/>
          <w:i/>
          <w:color w:val="4472C4" w:themeColor="accent1"/>
        </w:rPr>
        <w:t xml:space="preserve">. </w:t>
      </w:r>
      <w:r>
        <w:rPr>
          <w:rFonts w:ascii="Times New Roman" w:hAnsi="Times New Roman" w:cs="Times New Roman"/>
          <w:i/>
          <w:color w:val="4472C4" w:themeColor="accent1"/>
        </w:rPr>
        <w:t>Log-Adjusted Model Fit</w:t>
      </w:r>
      <w:bookmarkEnd w:id="25"/>
    </w:p>
    <w:tbl>
      <w:tblPr>
        <w:tblStyle w:val="TableGrid"/>
        <w:tblW w:w="0" w:type="auto"/>
        <w:tblInd w:w="2160" w:type="dxa"/>
        <w:tblLook w:val="04A0" w:firstRow="1" w:lastRow="0" w:firstColumn="1" w:lastColumn="0" w:noHBand="0" w:noVBand="1"/>
      </w:tblPr>
      <w:tblGrid>
        <w:gridCol w:w="1615"/>
        <w:gridCol w:w="2404"/>
      </w:tblGrid>
      <w:tr w:rsidR="005145CE" w14:paraId="72BFE0F2" w14:textId="77777777" w:rsidTr="0046506F">
        <w:trPr>
          <w:trHeight w:val="449"/>
        </w:trPr>
        <w:tc>
          <w:tcPr>
            <w:tcW w:w="0" w:type="auto"/>
            <w:gridSpan w:val="2"/>
            <w:shd w:val="clear" w:color="auto" w:fill="DEEAF6" w:themeFill="accent5" w:themeFillTint="33"/>
            <w:vAlign w:val="center"/>
          </w:tcPr>
          <w:p w14:paraId="6F5A3569" w14:textId="77777777" w:rsidR="005145CE" w:rsidRPr="00A142DD" w:rsidRDefault="005145CE" w:rsidP="004938DC">
            <w:pPr>
              <w:jc w:val="center"/>
              <w:rPr>
                <w:rFonts w:ascii="Rockwell" w:hAnsi="Rockwell"/>
                <w:color w:val="2F5496" w:themeColor="accent1" w:themeShade="BF"/>
              </w:rPr>
            </w:pPr>
            <w:r>
              <w:rPr>
                <w:rFonts w:ascii="Rockwell" w:hAnsi="Rockwell"/>
                <w:color w:val="2F5496" w:themeColor="accent1" w:themeShade="BF"/>
              </w:rPr>
              <w:t>Log-Adjusted</w:t>
            </w:r>
            <w:r w:rsidRPr="00A142DD">
              <w:rPr>
                <w:rFonts w:ascii="Rockwell" w:hAnsi="Rockwell"/>
                <w:color w:val="2F5496" w:themeColor="accent1" w:themeShade="BF"/>
              </w:rPr>
              <w:t xml:space="preserve"> </w:t>
            </w:r>
            <w:r>
              <w:rPr>
                <w:rFonts w:ascii="Rockwell" w:hAnsi="Rockwell"/>
                <w:color w:val="2F5496" w:themeColor="accent1" w:themeShade="BF"/>
              </w:rPr>
              <w:t>Model Fit</w:t>
            </w:r>
          </w:p>
        </w:tc>
      </w:tr>
      <w:tr w:rsidR="005145CE" w14:paraId="2C3DD95D" w14:textId="77777777" w:rsidTr="0046506F">
        <w:tc>
          <w:tcPr>
            <w:tcW w:w="1615" w:type="dxa"/>
          </w:tcPr>
          <w:p w14:paraId="4625A205" w14:textId="77777777" w:rsidR="005145CE" w:rsidRDefault="005145CE" w:rsidP="00C275D1">
            <w:r>
              <w:t>R</w:t>
            </w:r>
            <w:r>
              <w:rPr>
                <w:vertAlign w:val="superscript"/>
              </w:rPr>
              <w:t>2</w:t>
            </w:r>
          </w:p>
        </w:tc>
        <w:tc>
          <w:tcPr>
            <w:tcW w:w="2404" w:type="dxa"/>
            <w:vAlign w:val="center"/>
          </w:tcPr>
          <w:p w14:paraId="2CC56845" w14:textId="3A406D21" w:rsidR="005145CE" w:rsidRDefault="004938DC" w:rsidP="004938DC">
            <w:pPr>
              <w:jc w:val="right"/>
            </w:pPr>
            <w:r>
              <w:t>0.747</w:t>
            </w:r>
            <w:r w:rsidR="0046506F">
              <w:t>4</w:t>
            </w:r>
          </w:p>
        </w:tc>
      </w:tr>
      <w:tr w:rsidR="005145CE" w14:paraId="389072C4" w14:textId="77777777" w:rsidTr="0046506F">
        <w:tc>
          <w:tcPr>
            <w:tcW w:w="1615" w:type="dxa"/>
          </w:tcPr>
          <w:p w14:paraId="5BC88466" w14:textId="77777777" w:rsidR="005145CE" w:rsidRDefault="005145CE" w:rsidP="00C275D1">
            <w:r>
              <w:t>Adjusted R</w:t>
            </w:r>
            <w:r>
              <w:rPr>
                <w:vertAlign w:val="superscript"/>
              </w:rPr>
              <w:t>2</w:t>
            </w:r>
          </w:p>
        </w:tc>
        <w:tc>
          <w:tcPr>
            <w:tcW w:w="2404" w:type="dxa"/>
            <w:vAlign w:val="center"/>
          </w:tcPr>
          <w:p w14:paraId="368C1F10" w14:textId="5F977C8F" w:rsidR="005145CE" w:rsidRDefault="004938DC" w:rsidP="004938DC">
            <w:pPr>
              <w:jc w:val="right"/>
            </w:pPr>
            <w:r>
              <w:t>0.681</w:t>
            </w:r>
            <w:r w:rsidR="0046506F">
              <w:t>5</w:t>
            </w:r>
          </w:p>
        </w:tc>
      </w:tr>
      <w:tr w:rsidR="005145CE" w14:paraId="1F84D5E1" w14:textId="77777777" w:rsidTr="0046506F">
        <w:tc>
          <w:tcPr>
            <w:tcW w:w="1615" w:type="dxa"/>
          </w:tcPr>
          <w:p w14:paraId="188FADC2" w14:textId="77777777" w:rsidR="005145CE" w:rsidRDefault="005145CE" w:rsidP="00C275D1">
            <w:r>
              <w:t>RSS</w:t>
            </w:r>
          </w:p>
        </w:tc>
        <w:tc>
          <w:tcPr>
            <w:tcW w:w="2404" w:type="dxa"/>
            <w:vAlign w:val="center"/>
          </w:tcPr>
          <w:p w14:paraId="5B09BC2C" w14:textId="77777777" w:rsidR="005145CE" w:rsidRDefault="004938DC" w:rsidP="004938DC">
            <w:pPr>
              <w:jc w:val="right"/>
            </w:pPr>
            <w:r>
              <w:t>4940.4577</w:t>
            </w:r>
          </w:p>
        </w:tc>
      </w:tr>
      <w:tr w:rsidR="000C31C2" w14:paraId="23AB59D0" w14:textId="77777777" w:rsidTr="0046506F">
        <w:tc>
          <w:tcPr>
            <w:tcW w:w="1615" w:type="dxa"/>
          </w:tcPr>
          <w:p w14:paraId="460DCFCF" w14:textId="77777777" w:rsidR="000C31C2" w:rsidRDefault="000C31C2" w:rsidP="000C31C2">
            <w:r>
              <w:t>F</w:t>
            </w:r>
          </w:p>
        </w:tc>
        <w:tc>
          <w:tcPr>
            <w:tcW w:w="2404" w:type="dxa"/>
            <w:vAlign w:val="center"/>
          </w:tcPr>
          <w:p w14:paraId="1AEA2572" w14:textId="77777777" w:rsidR="000C31C2" w:rsidRDefault="000C31C2" w:rsidP="000C31C2">
            <w:pPr>
              <w:jc w:val="right"/>
            </w:pPr>
            <w:r>
              <w:t>11.34 [0.000]**</w:t>
            </w:r>
          </w:p>
        </w:tc>
      </w:tr>
    </w:tbl>
    <w:p w14:paraId="1142325F" w14:textId="31976FB5" w:rsidR="0046506F" w:rsidRPr="00701123" w:rsidRDefault="000C31C2" w:rsidP="005B07BF">
      <w:pPr>
        <w:spacing w:line="360" w:lineRule="auto"/>
        <w:ind w:left="2160"/>
        <w:rPr>
          <w:i/>
          <w:sz w:val="21"/>
        </w:rPr>
      </w:pPr>
      <w:r w:rsidRPr="00701123">
        <w:rPr>
          <w:i/>
          <w:sz w:val="21"/>
        </w:rPr>
        <w:t xml:space="preserve">Note: ** indicate significance at </w:t>
      </w:r>
      <w:r w:rsidRPr="00701123">
        <w:rPr>
          <w:i/>
          <w:color w:val="000000" w:themeColor="text1"/>
          <w:sz w:val="21"/>
        </w:rPr>
        <w:t>α=</w:t>
      </w:r>
      <w:r w:rsidRPr="00701123">
        <w:rPr>
          <w:i/>
          <w:sz w:val="21"/>
        </w:rPr>
        <w:t>0.</w:t>
      </w:r>
      <w:r w:rsidR="00701123" w:rsidRPr="00701123">
        <w:rPr>
          <w:i/>
          <w:sz w:val="21"/>
        </w:rPr>
        <w:t>01</w:t>
      </w:r>
      <w:r w:rsidRPr="00701123">
        <w:rPr>
          <w:i/>
          <w:sz w:val="21"/>
        </w:rPr>
        <w:t xml:space="preserve">  </w:t>
      </w:r>
    </w:p>
    <w:p w14:paraId="5E74C477" w14:textId="15CC397A" w:rsidR="008C1043" w:rsidRDefault="005B07BF" w:rsidP="003A3FF2">
      <w:pPr>
        <w:spacing w:line="360" w:lineRule="auto"/>
        <w:ind w:firstLine="720"/>
      </w:pPr>
      <w:r>
        <w:rPr>
          <w:color w:val="000000" w:themeColor="text1"/>
        </w:rPr>
        <w:lastRenderedPageBreak/>
        <w:t xml:space="preserve">Also shown in </w:t>
      </w:r>
      <w:r>
        <w:rPr>
          <w:i/>
          <w:color w:val="000000" w:themeColor="text1"/>
        </w:rPr>
        <w:t>Table 3</w:t>
      </w:r>
      <w:r>
        <w:rPr>
          <w:color w:val="000000" w:themeColor="text1"/>
        </w:rPr>
        <w:t xml:space="preserve"> on the previous page, the</w:t>
      </w:r>
      <w:r w:rsidR="00701123" w:rsidRPr="008C4429">
        <w:rPr>
          <w:color w:val="000000" w:themeColor="text1"/>
        </w:rPr>
        <w:t xml:space="preserve"> reported F-test statistic of the </w:t>
      </w:r>
      <w:r w:rsidR="0046506F">
        <w:rPr>
          <w:color w:val="000000" w:themeColor="text1"/>
        </w:rPr>
        <w:t xml:space="preserve">log-adjusted </w:t>
      </w:r>
      <w:r w:rsidR="00701123" w:rsidRPr="008C4429">
        <w:rPr>
          <w:color w:val="000000" w:themeColor="text1"/>
        </w:rPr>
        <w:t xml:space="preserve">regression is </w:t>
      </w:r>
      <w:r w:rsidR="00701123">
        <w:rPr>
          <w:color w:val="000000" w:themeColor="text1"/>
        </w:rPr>
        <w:t>11.34</w:t>
      </w:r>
      <w:r w:rsidR="00701123" w:rsidRPr="008C4429">
        <w:rPr>
          <w:color w:val="000000" w:themeColor="text1"/>
        </w:rPr>
        <w:t xml:space="preserve"> with a p-value of 0.0</w:t>
      </w:r>
      <w:r w:rsidR="00701123">
        <w:rPr>
          <w:color w:val="000000" w:themeColor="text1"/>
        </w:rPr>
        <w:t xml:space="preserve">00. </w:t>
      </w:r>
      <w:r w:rsidR="00701123" w:rsidRPr="008C4429">
        <w:rPr>
          <w:color w:val="000000" w:themeColor="text1"/>
        </w:rPr>
        <w:t xml:space="preserve">When comparing the p-value of </w:t>
      </w:r>
      <w:r w:rsidR="00701123">
        <w:rPr>
          <w:color w:val="000000" w:themeColor="text1"/>
        </w:rPr>
        <w:t>the</w:t>
      </w:r>
      <w:r w:rsidR="00701123" w:rsidRPr="008C4429">
        <w:rPr>
          <w:color w:val="000000" w:themeColor="text1"/>
        </w:rPr>
        <w:t xml:space="preserve"> F-test statistic to </w:t>
      </w:r>
      <w:r w:rsidR="00701123">
        <w:rPr>
          <w:color w:val="000000" w:themeColor="text1"/>
        </w:rPr>
        <w:t>the overall</w:t>
      </w:r>
      <w:r w:rsidR="00701123" w:rsidRPr="008C4429">
        <w:rPr>
          <w:color w:val="000000" w:themeColor="text1"/>
        </w:rPr>
        <w:t xml:space="preserve"> significance level </w:t>
      </w:r>
      <w:r w:rsidR="00701123">
        <w:rPr>
          <w:color w:val="000000" w:themeColor="text1"/>
        </w:rPr>
        <w:t xml:space="preserve">of the model, </w:t>
      </w:r>
      <w:r w:rsidR="00701123" w:rsidRPr="008C4429">
        <w:rPr>
          <w:color w:val="000000" w:themeColor="text1"/>
        </w:rPr>
        <w:t>0.0</w:t>
      </w:r>
      <w:r w:rsidR="00701123">
        <w:rPr>
          <w:color w:val="000000" w:themeColor="text1"/>
        </w:rPr>
        <w:t xml:space="preserve">00 </w:t>
      </w:r>
      <w:r w:rsidR="00701123" w:rsidRPr="008C4429">
        <w:rPr>
          <w:color w:val="000000" w:themeColor="text1"/>
        </w:rPr>
        <w:t>&lt;</w:t>
      </w:r>
      <w:r w:rsidR="00701123">
        <w:rPr>
          <w:color w:val="000000" w:themeColor="text1"/>
        </w:rPr>
        <w:t xml:space="preserve"> 0</w:t>
      </w:r>
      <w:r w:rsidR="00701123" w:rsidRPr="008C4429">
        <w:rPr>
          <w:color w:val="000000" w:themeColor="text1"/>
        </w:rPr>
        <w:t>.</w:t>
      </w:r>
      <w:r w:rsidR="00701123">
        <w:rPr>
          <w:color w:val="000000" w:themeColor="text1"/>
        </w:rPr>
        <w:t>01. As a result,</w:t>
      </w:r>
      <w:r w:rsidR="00701123" w:rsidRPr="008C4429">
        <w:rPr>
          <w:color w:val="000000" w:themeColor="text1"/>
        </w:rPr>
        <w:t xml:space="preserve"> the null hypothesis for the F-test of no joint significance of the parameters (H0 : β1 = β2 = β3 =</w:t>
      </w:r>
      <w:r w:rsidR="00701123" w:rsidRPr="00CE19E8">
        <w:rPr>
          <w:color w:val="000000" w:themeColor="text1"/>
        </w:rPr>
        <w:t xml:space="preserve"> </w:t>
      </w:r>
      <w:r w:rsidR="00701123" w:rsidRPr="008C4429">
        <w:rPr>
          <w:color w:val="000000" w:themeColor="text1"/>
        </w:rPr>
        <w:t>β</w:t>
      </w:r>
      <w:r w:rsidR="00701123">
        <w:rPr>
          <w:color w:val="000000" w:themeColor="text1"/>
        </w:rPr>
        <w:t>4</w:t>
      </w:r>
      <w:r w:rsidR="00701123" w:rsidRPr="008C4429">
        <w:rPr>
          <w:color w:val="000000" w:themeColor="text1"/>
        </w:rPr>
        <w:t xml:space="preserve"> = β</w:t>
      </w:r>
      <w:r w:rsidR="00701123">
        <w:rPr>
          <w:color w:val="000000" w:themeColor="text1"/>
        </w:rPr>
        <w:t>5</w:t>
      </w:r>
      <w:r w:rsidR="00701123" w:rsidRPr="008C4429">
        <w:rPr>
          <w:color w:val="000000" w:themeColor="text1"/>
        </w:rPr>
        <w:t xml:space="preserve"> = β</w:t>
      </w:r>
      <w:r w:rsidR="00701123">
        <w:rPr>
          <w:color w:val="000000" w:themeColor="text1"/>
        </w:rPr>
        <w:t>6</w:t>
      </w:r>
      <w:r w:rsidR="00701123" w:rsidRPr="008C4429">
        <w:rPr>
          <w:color w:val="000000" w:themeColor="text1"/>
        </w:rPr>
        <w:t xml:space="preserve"> = 0)</w:t>
      </w:r>
      <w:r w:rsidR="00701123">
        <w:rPr>
          <w:color w:val="000000" w:themeColor="text1"/>
        </w:rPr>
        <w:t xml:space="preserve"> is also rejected in the log-adjusted model.</w:t>
      </w:r>
      <w:r w:rsidR="00701123" w:rsidRPr="008C4429">
        <w:rPr>
          <w:color w:val="000000" w:themeColor="text1"/>
        </w:rPr>
        <w:t xml:space="preserve"> </w:t>
      </w:r>
      <w:r w:rsidR="0046506F">
        <w:rPr>
          <w:color w:val="000000" w:themeColor="text1"/>
        </w:rPr>
        <w:t>Again, this</w:t>
      </w:r>
      <w:r w:rsidR="00701123">
        <w:rPr>
          <w:color w:val="000000" w:themeColor="text1"/>
        </w:rPr>
        <w:t xml:space="preserve"> indicates that the regression model is </w:t>
      </w:r>
      <w:r w:rsidR="00701123" w:rsidRPr="008C4429">
        <w:rPr>
          <w:color w:val="000000" w:themeColor="text1"/>
        </w:rPr>
        <w:t>considered statistically significant at the</w:t>
      </w:r>
      <w:r w:rsidR="00701123">
        <w:rPr>
          <w:color w:val="000000" w:themeColor="text1"/>
        </w:rPr>
        <w:t xml:space="preserve"> 1</w:t>
      </w:r>
      <w:r w:rsidR="00701123" w:rsidRPr="008C4429">
        <w:rPr>
          <w:color w:val="000000" w:themeColor="text1"/>
        </w:rPr>
        <w:t>% significance level</w:t>
      </w:r>
      <w:r w:rsidR="0046506F">
        <w:rPr>
          <w:color w:val="000000" w:themeColor="text1"/>
        </w:rPr>
        <w:t xml:space="preserve">, allowing </w:t>
      </w:r>
      <w:r w:rsidR="00701123">
        <w:rPr>
          <w:color w:val="000000" w:themeColor="text1"/>
        </w:rPr>
        <w:t xml:space="preserve">for the conclusion </w:t>
      </w:r>
      <w:r w:rsidR="00701123" w:rsidRPr="008C4429">
        <w:rPr>
          <w:color w:val="000000" w:themeColor="text1"/>
        </w:rPr>
        <w:t xml:space="preserve">that one of </w:t>
      </w:r>
      <w:r w:rsidR="00701123">
        <w:rPr>
          <w:color w:val="000000" w:themeColor="text1"/>
        </w:rPr>
        <w:t>the</w:t>
      </w:r>
      <w:r w:rsidR="00701123" w:rsidRPr="008C4429">
        <w:rPr>
          <w:color w:val="000000" w:themeColor="text1"/>
        </w:rPr>
        <w:t xml:space="preserve"> independent variables</w:t>
      </w:r>
      <w:r w:rsidR="00701123">
        <w:rPr>
          <w:color w:val="000000" w:themeColor="text1"/>
        </w:rPr>
        <w:t xml:space="preserve"> in the </w:t>
      </w:r>
      <w:r w:rsidR="0046506F">
        <w:rPr>
          <w:color w:val="000000" w:themeColor="text1"/>
        </w:rPr>
        <w:t xml:space="preserve">log-adjusted </w:t>
      </w:r>
      <w:r w:rsidR="00701123">
        <w:rPr>
          <w:color w:val="000000" w:themeColor="text1"/>
        </w:rPr>
        <w:t>model</w:t>
      </w:r>
      <w:r w:rsidR="00701123" w:rsidRPr="008C4429">
        <w:rPr>
          <w:color w:val="000000" w:themeColor="text1"/>
        </w:rPr>
        <w:t xml:space="preserve"> has a statistically significant impact on </w:t>
      </w:r>
      <w:r w:rsidR="00701123">
        <w:rPr>
          <w:color w:val="000000" w:themeColor="text1"/>
        </w:rPr>
        <w:t>the</w:t>
      </w:r>
      <w:r w:rsidR="00701123" w:rsidRPr="008C4429">
        <w:rPr>
          <w:color w:val="000000" w:themeColor="text1"/>
        </w:rPr>
        <w:t xml:space="preserve"> dependent variable</w:t>
      </w:r>
      <w:r w:rsidR="00701123">
        <w:rPr>
          <w:color w:val="000000" w:themeColor="text1"/>
        </w:rPr>
        <w:t xml:space="preserve">. </w:t>
      </w:r>
      <w:r w:rsidR="00701123">
        <w:t xml:space="preserve">The information contained in </w:t>
      </w:r>
      <w:r w:rsidR="00701123">
        <w:rPr>
          <w:i/>
        </w:rPr>
        <w:t>Table 4</w:t>
      </w:r>
      <w:r w:rsidR="00485A7E">
        <w:rPr>
          <w:i/>
        </w:rPr>
        <w:t xml:space="preserve"> </w:t>
      </w:r>
      <w:r>
        <w:t xml:space="preserve">below </w:t>
      </w:r>
      <w:r w:rsidR="00701123">
        <w:t>provides greater detail on each of the independent variables in the log-adjusted model.</w:t>
      </w:r>
    </w:p>
    <w:p w14:paraId="56C5CC85" w14:textId="77777777" w:rsidR="005B07BF" w:rsidRPr="005B07BF" w:rsidRDefault="005B07BF" w:rsidP="00485A7E">
      <w:pPr>
        <w:spacing w:line="360" w:lineRule="auto"/>
        <w:ind w:firstLine="720"/>
        <w:rPr>
          <w:sz w:val="16"/>
        </w:rPr>
      </w:pPr>
    </w:p>
    <w:p w14:paraId="31A8F382" w14:textId="77777777" w:rsidR="00AB6AE3" w:rsidRPr="006B1441" w:rsidRDefault="00AB6AE3" w:rsidP="0046506F">
      <w:pPr>
        <w:pStyle w:val="Heading3"/>
        <w:spacing w:line="360" w:lineRule="auto"/>
        <w:ind w:left="720"/>
        <w:rPr>
          <w:rFonts w:ascii="Times New Roman" w:hAnsi="Times New Roman" w:cs="Times New Roman"/>
          <w:i/>
          <w:color w:val="4472C4" w:themeColor="accent1"/>
        </w:rPr>
      </w:pPr>
      <w:bookmarkStart w:id="26" w:name="_Toc78045095"/>
      <w:r w:rsidRPr="006B1441">
        <w:rPr>
          <w:rFonts w:ascii="Times New Roman" w:hAnsi="Times New Roman" w:cs="Times New Roman"/>
          <w:i/>
          <w:color w:val="4472C4" w:themeColor="accent1"/>
        </w:rPr>
        <w:t xml:space="preserve">Table </w:t>
      </w:r>
      <w:r w:rsidR="005145CE">
        <w:rPr>
          <w:rFonts w:ascii="Times New Roman" w:hAnsi="Times New Roman" w:cs="Times New Roman"/>
          <w:i/>
          <w:color w:val="4472C4" w:themeColor="accent1"/>
        </w:rPr>
        <w:t>4</w:t>
      </w:r>
      <w:r w:rsidRPr="006B1441">
        <w:rPr>
          <w:rFonts w:ascii="Times New Roman" w:hAnsi="Times New Roman" w:cs="Times New Roman"/>
          <w:i/>
          <w:color w:val="4472C4" w:themeColor="accent1"/>
        </w:rPr>
        <w:t xml:space="preserve">. </w:t>
      </w:r>
      <w:r w:rsidR="00EB1B40">
        <w:rPr>
          <w:rFonts w:ascii="Times New Roman" w:hAnsi="Times New Roman" w:cs="Times New Roman"/>
          <w:i/>
          <w:color w:val="4472C4" w:themeColor="accent1"/>
        </w:rPr>
        <w:t>Log-Adjusted</w:t>
      </w:r>
      <w:r w:rsidR="00EB5698">
        <w:rPr>
          <w:rFonts w:ascii="Times New Roman" w:hAnsi="Times New Roman" w:cs="Times New Roman"/>
          <w:i/>
          <w:color w:val="4472C4" w:themeColor="accent1"/>
        </w:rPr>
        <w:t xml:space="preserve"> </w:t>
      </w:r>
      <w:r w:rsidRPr="006B1441">
        <w:rPr>
          <w:rFonts w:ascii="Times New Roman" w:hAnsi="Times New Roman" w:cs="Times New Roman"/>
          <w:i/>
          <w:color w:val="4472C4" w:themeColor="accent1"/>
        </w:rPr>
        <w:t>Regression</w:t>
      </w:r>
      <w:r w:rsidR="00EB5698">
        <w:rPr>
          <w:rFonts w:ascii="Times New Roman" w:hAnsi="Times New Roman" w:cs="Times New Roman"/>
          <w:i/>
          <w:color w:val="4472C4" w:themeColor="accent1"/>
        </w:rPr>
        <w:t xml:space="preserve"> </w:t>
      </w:r>
      <w:r w:rsidR="009A21DF">
        <w:rPr>
          <w:rFonts w:ascii="Times New Roman" w:hAnsi="Times New Roman" w:cs="Times New Roman"/>
          <w:i/>
          <w:color w:val="4472C4" w:themeColor="accent1"/>
        </w:rPr>
        <w:t>Results</w:t>
      </w:r>
      <w:bookmarkEnd w:id="26"/>
    </w:p>
    <w:tbl>
      <w:tblPr>
        <w:tblStyle w:val="TableGrid"/>
        <w:tblW w:w="0" w:type="auto"/>
        <w:tblInd w:w="720" w:type="dxa"/>
        <w:tblLook w:val="04A0" w:firstRow="1" w:lastRow="0" w:firstColumn="1" w:lastColumn="0" w:noHBand="0" w:noVBand="1"/>
      </w:tblPr>
      <w:tblGrid>
        <w:gridCol w:w="3310"/>
        <w:gridCol w:w="1164"/>
        <w:gridCol w:w="1857"/>
        <w:gridCol w:w="974"/>
        <w:gridCol w:w="1052"/>
      </w:tblGrid>
      <w:tr w:rsidR="00AB6AE3" w:rsidRPr="00CB7272" w14:paraId="15BBFBB0" w14:textId="77777777" w:rsidTr="0046506F">
        <w:trPr>
          <w:trHeight w:val="557"/>
        </w:trPr>
        <w:tc>
          <w:tcPr>
            <w:tcW w:w="0" w:type="auto"/>
            <w:shd w:val="clear" w:color="auto" w:fill="DEEAF6" w:themeFill="accent5" w:themeFillTint="33"/>
            <w:vAlign w:val="center"/>
          </w:tcPr>
          <w:p w14:paraId="399290E7" w14:textId="77777777" w:rsidR="00AB6AE3" w:rsidRPr="00CB7272" w:rsidRDefault="00AB6AE3" w:rsidP="00A142DD">
            <w:pPr>
              <w:spacing w:line="360" w:lineRule="auto"/>
              <w:jc w:val="center"/>
              <w:rPr>
                <w:rFonts w:ascii="Rockwell" w:hAnsi="Rockwell"/>
                <w:color w:val="2F5496" w:themeColor="accent1" w:themeShade="BF"/>
              </w:rPr>
            </w:pPr>
            <w:r w:rsidRPr="00CB7272">
              <w:rPr>
                <w:rFonts w:ascii="Rockwell" w:hAnsi="Rockwell"/>
                <w:color w:val="2F5496" w:themeColor="accent1" w:themeShade="BF"/>
              </w:rPr>
              <w:t>Term</w:t>
            </w:r>
          </w:p>
        </w:tc>
        <w:tc>
          <w:tcPr>
            <w:tcW w:w="0" w:type="auto"/>
            <w:shd w:val="clear" w:color="auto" w:fill="DEEAF6" w:themeFill="accent5" w:themeFillTint="33"/>
            <w:vAlign w:val="center"/>
          </w:tcPr>
          <w:p w14:paraId="46CDBD1E" w14:textId="77777777" w:rsidR="00AB6AE3" w:rsidRPr="00CB7272" w:rsidRDefault="00AB6AE3" w:rsidP="00A142DD">
            <w:pPr>
              <w:spacing w:line="360" w:lineRule="auto"/>
              <w:jc w:val="center"/>
              <w:rPr>
                <w:rFonts w:ascii="Rockwell" w:hAnsi="Rockwell"/>
                <w:color w:val="2F5496" w:themeColor="accent1" w:themeShade="BF"/>
              </w:rPr>
            </w:pPr>
            <w:r w:rsidRPr="00CB7272">
              <w:rPr>
                <w:rFonts w:ascii="Rockwell" w:hAnsi="Rockwell"/>
                <w:color w:val="2F5496" w:themeColor="accent1" w:themeShade="BF"/>
              </w:rPr>
              <w:t>Estimate</w:t>
            </w:r>
          </w:p>
        </w:tc>
        <w:tc>
          <w:tcPr>
            <w:tcW w:w="0" w:type="auto"/>
            <w:shd w:val="clear" w:color="auto" w:fill="DEEAF6" w:themeFill="accent5" w:themeFillTint="33"/>
            <w:vAlign w:val="center"/>
          </w:tcPr>
          <w:p w14:paraId="5DDD0183" w14:textId="77777777" w:rsidR="00AB6AE3" w:rsidRPr="00CB7272" w:rsidRDefault="00AB6AE3" w:rsidP="00A142DD">
            <w:pPr>
              <w:spacing w:line="360" w:lineRule="auto"/>
              <w:jc w:val="center"/>
              <w:rPr>
                <w:rFonts w:ascii="Rockwell" w:hAnsi="Rockwell"/>
                <w:color w:val="2F5496" w:themeColor="accent1" w:themeShade="BF"/>
              </w:rPr>
            </w:pPr>
            <w:r w:rsidRPr="00CB7272">
              <w:rPr>
                <w:rFonts w:ascii="Rockwell" w:hAnsi="Rockwell"/>
                <w:color w:val="2F5496" w:themeColor="accent1" w:themeShade="BF"/>
              </w:rPr>
              <w:t>Standard Error</w:t>
            </w:r>
          </w:p>
        </w:tc>
        <w:tc>
          <w:tcPr>
            <w:tcW w:w="0" w:type="auto"/>
            <w:shd w:val="clear" w:color="auto" w:fill="DEEAF6" w:themeFill="accent5" w:themeFillTint="33"/>
            <w:vAlign w:val="center"/>
          </w:tcPr>
          <w:p w14:paraId="028FE1B9" w14:textId="77777777" w:rsidR="00AB6AE3" w:rsidRPr="00CB7272" w:rsidRDefault="00AB6AE3" w:rsidP="00A142DD">
            <w:pPr>
              <w:spacing w:line="360" w:lineRule="auto"/>
              <w:jc w:val="center"/>
              <w:rPr>
                <w:rFonts w:ascii="Rockwell" w:hAnsi="Rockwell"/>
                <w:color w:val="2F5496" w:themeColor="accent1" w:themeShade="BF"/>
              </w:rPr>
            </w:pPr>
            <w:r w:rsidRPr="00CB7272">
              <w:rPr>
                <w:rFonts w:ascii="Rockwell" w:hAnsi="Rockwell"/>
                <w:color w:val="2F5496" w:themeColor="accent1" w:themeShade="BF"/>
              </w:rPr>
              <w:t>t-value</w:t>
            </w:r>
          </w:p>
        </w:tc>
        <w:tc>
          <w:tcPr>
            <w:tcW w:w="0" w:type="auto"/>
            <w:shd w:val="clear" w:color="auto" w:fill="DEEAF6" w:themeFill="accent5" w:themeFillTint="33"/>
            <w:vAlign w:val="center"/>
          </w:tcPr>
          <w:p w14:paraId="64D33598" w14:textId="77777777" w:rsidR="00AB6AE3" w:rsidRPr="00CB7272" w:rsidRDefault="00AB6AE3" w:rsidP="00A142DD">
            <w:pPr>
              <w:spacing w:line="360" w:lineRule="auto"/>
              <w:jc w:val="center"/>
              <w:rPr>
                <w:rFonts w:ascii="Rockwell" w:hAnsi="Rockwell"/>
                <w:color w:val="2F5496" w:themeColor="accent1" w:themeShade="BF"/>
              </w:rPr>
            </w:pPr>
            <w:r w:rsidRPr="00CB7272">
              <w:rPr>
                <w:rFonts w:ascii="Rockwell" w:hAnsi="Rockwell"/>
                <w:color w:val="2F5496" w:themeColor="accent1" w:themeShade="BF"/>
              </w:rPr>
              <w:t>p-value</w:t>
            </w:r>
          </w:p>
        </w:tc>
      </w:tr>
      <w:tr w:rsidR="00AB6AE3" w:rsidRPr="00D65137" w14:paraId="18FE3CE4" w14:textId="77777777" w:rsidTr="0046506F">
        <w:tc>
          <w:tcPr>
            <w:tcW w:w="0" w:type="auto"/>
            <w:vAlign w:val="bottom"/>
          </w:tcPr>
          <w:p w14:paraId="67B355E4" w14:textId="77777777" w:rsidR="00AB6AE3" w:rsidRPr="002B792E" w:rsidRDefault="00AB6AE3" w:rsidP="00A142DD">
            <w:pPr>
              <w:spacing w:line="276" w:lineRule="auto"/>
              <w:rPr>
                <w:i/>
              </w:rPr>
            </w:pPr>
            <w:r w:rsidRPr="002B792E">
              <w:rPr>
                <w:i/>
              </w:rPr>
              <w:t>Constant</w:t>
            </w:r>
          </w:p>
        </w:tc>
        <w:tc>
          <w:tcPr>
            <w:tcW w:w="0" w:type="auto"/>
            <w:vAlign w:val="center"/>
          </w:tcPr>
          <w:p w14:paraId="65F30C8E" w14:textId="77777777" w:rsidR="00AB6AE3" w:rsidRPr="00D65137" w:rsidRDefault="00AB6AE3" w:rsidP="004938DC">
            <w:pPr>
              <w:spacing w:line="276" w:lineRule="auto"/>
              <w:jc w:val="right"/>
              <w:rPr>
                <w:color w:val="000000"/>
              </w:rPr>
            </w:pPr>
            <w:r w:rsidRPr="00D65137">
              <w:rPr>
                <w:color w:val="000000"/>
              </w:rPr>
              <w:t>102.823</w:t>
            </w:r>
          </w:p>
        </w:tc>
        <w:tc>
          <w:tcPr>
            <w:tcW w:w="0" w:type="auto"/>
            <w:vAlign w:val="center"/>
          </w:tcPr>
          <w:p w14:paraId="38357FAC" w14:textId="77777777" w:rsidR="00AB6AE3" w:rsidRPr="00D65137" w:rsidRDefault="00AB6AE3" w:rsidP="004938DC">
            <w:pPr>
              <w:spacing w:line="276" w:lineRule="auto"/>
              <w:jc w:val="right"/>
              <w:rPr>
                <w:color w:val="000000"/>
              </w:rPr>
            </w:pPr>
            <w:r w:rsidRPr="00D65137">
              <w:rPr>
                <w:color w:val="000000"/>
              </w:rPr>
              <w:t>39.408</w:t>
            </w:r>
          </w:p>
        </w:tc>
        <w:tc>
          <w:tcPr>
            <w:tcW w:w="0" w:type="auto"/>
            <w:vAlign w:val="center"/>
          </w:tcPr>
          <w:p w14:paraId="776FCC63" w14:textId="77777777" w:rsidR="00AB6AE3" w:rsidRPr="00995FE5" w:rsidRDefault="00AB6AE3" w:rsidP="004938DC">
            <w:pPr>
              <w:spacing w:line="276" w:lineRule="auto"/>
              <w:jc w:val="right"/>
              <w:rPr>
                <w:color w:val="000000"/>
              </w:rPr>
            </w:pPr>
            <w:r w:rsidRPr="00995FE5">
              <w:rPr>
                <w:color w:val="000000"/>
              </w:rPr>
              <w:t>2.609</w:t>
            </w:r>
          </w:p>
        </w:tc>
        <w:tc>
          <w:tcPr>
            <w:tcW w:w="0" w:type="auto"/>
            <w:vAlign w:val="center"/>
          </w:tcPr>
          <w:p w14:paraId="1700E92E" w14:textId="77777777" w:rsidR="00AB6AE3" w:rsidRPr="00995FE5" w:rsidRDefault="00AB6AE3" w:rsidP="004938DC">
            <w:pPr>
              <w:spacing w:line="276" w:lineRule="auto"/>
              <w:jc w:val="right"/>
              <w:rPr>
                <w:color w:val="000000"/>
              </w:rPr>
            </w:pPr>
            <w:r w:rsidRPr="00995FE5">
              <w:rPr>
                <w:color w:val="000000"/>
              </w:rPr>
              <w:t>0.016</w:t>
            </w:r>
          </w:p>
        </w:tc>
      </w:tr>
      <w:tr w:rsidR="00AB6AE3" w:rsidRPr="00D65137" w14:paraId="4F475198" w14:textId="77777777" w:rsidTr="0046506F">
        <w:tc>
          <w:tcPr>
            <w:tcW w:w="0" w:type="auto"/>
            <w:vAlign w:val="bottom"/>
          </w:tcPr>
          <w:p w14:paraId="6C72ACA0" w14:textId="77777777" w:rsidR="00AB6AE3" w:rsidRPr="002B792E" w:rsidRDefault="00AB6AE3" w:rsidP="00A142DD">
            <w:pPr>
              <w:spacing w:line="276" w:lineRule="auto"/>
              <w:rPr>
                <w:i/>
              </w:rPr>
            </w:pPr>
            <w:r w:rsidRPr="002B792E">
              <w:rPr>
                <w:i/>
              </w:rPr>
              <w:t>ln_Reliability of Infrastructure</w:t>
            </w:r>
          </w:p>
        </w:tc>
        <w:tc>
          <w:tcPr>
            <w:tcW w:w="0" w:type="auto"/>
            <w:vAlign w:val="center"/>
          </w:tcPr>
          <w:p w14:paraId="06556001" w14:textId="77777777" w:rsidR="00AB6AE3" w:rsidRPr="00D65137" w:rsidRDefault="00AB6AE3" w:rsidP="004938DC">
            <w:pPr>
              <w:spacing w:line="276" w:lineRule="auto"/>
              <w:jc w:val="right"/>
              <w:rPr>
                <w:color w:val="000000"/>
              </w:rPr>
            </w:pPr>
            <w:r w:rsidRPr="00D65137">
              <w:rPr>
                <w:color w:val="000000"/>
              </w:rPr>
              <w:t>-252.566</w:t>
            </w:r>
          </w:p>
        </w:tc>
        <w:tc>
          <w:tcPr>
            <w:tcW w:w="0" w:type="auto"/>
            <w:vAlign w:val="center"/>
          </w:tcPr>
          <w:p w14:paraId="1450ACCE" w14:textId="77777777" w:rsidR="00AB6AE3" w:rsidRPr="00D65137" w:rsidRDefault="00AB6AE3" w:rsidP="004938DC">
            <w:pPr>
              <w:spacing w:line="276" w:lineRule="auto"/>
              <w:jc w:val="right"/>
              <w:rPr>
                <w:color w:val="000000"/>
              </w:rPr>
            </w:pPr>
            <w:r w:rsidRPr="00D65137">
              <w:rPr>
                <w:color w:val="000000"/>
              </w:rPr>
              <w:t>96.812</w:t>
            </w:r>
          </w:p>
        </w:tc>
        <w:tc>
          <w:tcPr>
            <w:tcW w:w="0" w:type="auto"/>
            <w:vAlign w:val="center"/>
          </w:tcPr>
          <w:p w14:paraId="76021547" w14:textId="77777777" w:rsidR="00AB6AE3" w:rsidRPr="00995FE5" w:rsidRDefault="00AB6AE3" w:rsidP="004938DC">
            <w:pPr>
              <w:spacing w:line="276" w:lineRule="auto"/>
              <w:jc w:val="right"/>
              <w:rPr>
                <w:color w:val="000000"/>
              </w:rPr>
            </w:pPr>
            <w:r w:rsidRPr="00995FE5">
              <w:rPr>
                <w:color w:val="000000"/>
              </w:rPr>
              <w:t>-2.609</w:t>
            </w:r>
          </w:p>
        </w:tc>
        <w:tc>
          <w:tcPr>
            <w:tcW w:w="0" w:type="auto"/>
            <w:vAlign w:val="center"/>
          </w:tcPr>
          <w:p w14:paraId="48F738B5" w14:textId="77777777" w:rsidR="00AB6AE3" w:rsidRPr="00995FE5" w:rsidRDefault="00AB6AE3" w:rsidP="004938DC">
            <w:pPr>
              <w:spacing w:line="276" w:lineRule="auto"/>
              <w:jc w:val="right"/>
              <w:rPr>
                <w:color w:val="000000"/>
              </w:rPr>
            </w:pPr>
            <w:r w:rsidRPr="00995FE5">
              <w:rPr>
                <w:color w:val="000000"/>
              </w:rPr>
              <w:t>0.016</w:t>
            </w:r>
          </w:p>
        </w:tc>
      </w:tr>
      <w:tr w:rsidR="00AB6AE3" w:rsidRPr="00D65137" w14:paraId="6359D04A" w14:textId="77777777" w:rsidTr="0046506F">
        <w:tc>
          <w:tcPr>
            <w:tcW w:w="0" w:type="auto"/>
            <w:vAlign w:val="bottom"/>
          </w:tcPr>
          <w:p w14:paraId="7E1205E3" w14:textId="77777777" w:rsidR="00AB6AE3" w:rsidRPr="002B792E" w:rsidRDefault="00AB6AE3" w:rsidP="00A142DD">
            <w:pPr>
              <w:spacing w:line="276" w:lineRule="auto"/>
              <w:rPr>
                <w:i/>
              </w:rPr>
            </w:pPr>
            <w:r w:rsidRPr="002B792E">
              <w:rPr>
                <w:i/>
              </w:rPr>
              <w:t>ln_Transparency of Information</w:t>
            </w:r>
          </w:p>
        </w:tc>
        <w:tc>
          <w:tcPr>
            <w:tcW w:w="0" w:type="auto"/>
            <w:vAlign w:val="center"/>
          </w:tcPr>
          <w:p w14:paraId="1478D538" w14:textId="77777777" w:rsidR="00AB6AE3" w:rsidRPr="00D65137" w:rsidRDefault="00AB6AE3" w:rsidP="004938DC">
            <w:pPr>
              <w:spacing w:line="276" w:lineRule="auto"/>
              <w:jc w:val="right"/>
              <w:rPr>
                <w:color w:val="000000"/>
              </w:rPr>
            </w:pPr>
            <w:r w:rsidRPr="00D65137">
              <w:rPr>
                <w:color w:val="000000"/>
              </w:rPr>
              <w:t>249.888</w:t>
            </w:r>
          </w:p>
        </w:tc>
        <w:tc>
          <w:tcPr>
            <w:tcW w:w="0" w:type="auto"/>
            <w:vAlign w:val="center"/>
          </w:tcPr>
          <w:p w14:paraId="7A9893A4" w14:textId="77777777" w:rsidR="00AB6AE3" w:rsidRPr="00D65137" w:rsidRDefault="00AB6AE3" w:rsidP="004938DC">
            <w:pPr>
              <w:spacing w:line="276" w:lineRule="auto"/>
              <w:jc w:val="right"/>
              <w:rPr>
                <w:color w:val="000000"/>
              </w:rPr>
            </w:pPr>
            <w:r w:rsidRPr="00D65137">
              <w:rPr>
                <w:color w:val="000000"/>
              </w:rPr>
              <w:t>95.940</w:t>
            </w:r>
          </w:p>
        </w:tc>
        <w:tc>
          <w:tcPr>
            <w:tcW w:w="0" w:type="auto"/>
            <w:vAlign w:val="center"/>
          </w:tcPr>
          <w:p w14:paraId="4A64F3A9" w14:textId="77777777" w:rsidR="00AB6AE3" w:rsidRPr="00995FE5" w:rsidRDefault="00AB6AE3" w:rsidP="004938DC">
            <w:pPr>
              <w:spacing w:line="276" w:lineRule="auto"/>
              <w:jc w:val="right"/>
              <w:rPr>
                <w:color w:val="000000"/>
              </w:rPr>
            </w:pPr>
            <w:r w:rsidRPr="00995FE5">
              <w:rPr>
                <w:color w:val="000000"/>
              </w:rPr>
              <w:t>2.605</w:t>
            </w:r>
          </w:p>
        </w:tc>
        <w:tc>
          <w:tcPr>
            <w:tcW w:w="0" w:type="auto"/>
            <w:vAlign w:val="center"/>
          </w:tcPr>
          <w:p w14:paraId="1DE4889E" w14:textId="77777777" w:rsidR="00AB6AE3" w:rsidRPr="00995FE5" w:rsidRDefault="00AB6AE3" w:rsidP="004938DC">
            <w:pPr>
              <w:spacing w:line="276" w:lineRule="auto"/>
              <w:jc w:val="right"/>
              <w:rPr>
                <w:color w:val="000000"/>
              </w:rPr>
            </w:pPr>
            <w:r w:rsidRPr="00995FE5">
              <w:rPr>
                <w:color w:val="000000"/>
              </w:rPr>
              <w:t>0.016</w:t>
            </w:r>
          </w:p>
        </w:tc>
      </w:tr>
      <w:tr w:rsidR="00AB6AE3" w:rsidRPr="00D65137" w14:paraId="4833F57D" w14:textId="77777777" w:rsidTr="0046506F">
        <w:tc>
          <w:tcPr>
            <w:tcW w:w="0" w:type="auto"/>
            <w:vAlign w:val="bottom"/>
          </w:tcPr>
          <w:p w14:paraId="07989E3F" w14:textId="77777777" w:rsidR="00AB6AE3" w:rsidRPr="002B792E" w:rsidRDefault="00AB6AE3" w:rsidP="00A142DD">
            <w:pPr>
              <w:spacing w:line="276" w:lineRule="auto"/>
              <w:rPr>
                <w:i/>
              </w:rPr>
            </w:pPr>
            <w:r w:rsidRPr="002B792E">
              <w:rPr>
                <w:i/>
              </w:rPr>
              <w:t>ln_Geographic Coverage</w:t>
            </w:r>
          </w:p>
        </w:tc>
        <w:tc>
          <w:tcPr>
            <w:tcW w:w="0" w:type="auto"/>
            <w:vAlign w:val="center"/>
          </w:tcPr>
          <w:p w14:paraId="04FB97EE" w14:textId="77777777" w:rsidR="00AB6AE3" w:rsidRPr="00D65137" w:rsidRDefault="00AB6AE3" w:rsidP="004938DC">
            <w:pPr>
              <w:spacing w:line="276" w:lineRule="auto"/>
              <w:jc w:val="right"/>
              <w:rPr>
                <w:color w:val="000000"/>
              </w:rPr>
            </w:pPr>
            <w:r w:rsidRPr="00D65137">
              <w:rPr>
                <w:color w:val="000000"/>
              </w:rPr>
              <w:t>-0.009</w:t>
            </w:r>
          </w:p>
        </w:tc>
        <w:tc>
          <w:tcPr>
            <w:tcW w:w="0" w:type="auto"/>
            <w:vAlign w:val="center"/>
          </w:tcPr>
          <w:p w14:paraId="43002C0D" w14:textId="77777777" w:rsidR="00AB6AE3" w:rsidRPr="00D65137" w:rsidRDefault="00AB6AE3" w:rsidP="004938DC">
            <w:pPr>
              <w:spacing w:line="276" w:lineRule="auto"/>
              <w:jc w:val="right"/>
              <w:rPr>
                <w:color w:val="000000"/>
              </w:rPr>
            </w:pPr>
            <w:r w:rsidRPr="00D65137">
              <w:rPr>
                <w:color w:val="000000"/>
              </w:rPr>
              <w:t>4.731</w:t>
            </w:r>
          </w:p>
        </w:tc>
        <w:tc>
          <w:tcPr>
            <w:tcW w:w="0" w:type="auto"/>
            <w:vAlign w:val="center"/>
          </w:tcPr>
          <w:p w14:paraId="78A6B71A" w14:textId="77777777" w:rsidR="00AB6AE3" w:rsidRPr="00995FE5" w:rsidRDefault="00AB6AE3" w:rsidP="004938DC">
            <w:pPr>
              <w:spacing w:line="276" w:lineRule="auto"/>
              <w:jc w:val="right"/>
              <w:rPr>
                <w:color w:val="000000"/>
              </w:rPr>
            </w:pPr>
            <w:r w:rsidRPr="00995FE5">
              <w:rPr>
                <w:color w:val="000000"/>
              </w:rPr>
              <w:t>-0.002</w:t>
            </w:r>
          </w:p>
        </w:tc>
        <w:tc>
          <w:tcPr>
            <w:tcW w:w="0" w:type="auto"/>
            <w:vAlign w:val="center"/>
          </w:tcPr>
          <w:p w14:paraId="2ECB4C1E" w14:textId="77777777" w:rsidR="00AB6AE3" w:rsidRPr="00995FE5" w:rsidRDefault="00AB6AE3" w:rsidP="004938DC">
            <w:pPr>
              <w:spacing w:line="276" w:lineRule="auto"/>
              <w:jc w:val="right"/>
              <w:rPr>
                <w:color w:val="000000"/>
              </w:rPr>
            </w:pPr>
            <w:r w:rsidRPr="00995FE5">
              <w:rPr>
                <w:color w:val="000000"/>
              </w:rPr>
              <w:t>0.999</w:t>
            </w:r>
          </w:p>
        </w:tc>
      </w:tr>
      <w:tr w:rsidR="00AB6AE3" w:rsidRPr="00D65137" w14:paraId="5D4CD407" w14:textId="77777777" w:rsidTr="0046506F">
        <w:tc>
          <w:tcPr>
            <w:tcW w:w="0" w:type="auto"/>
            <w:vAlign w:val="bottom"/>
          </w:tcPr>
          <w:p w14:paraId="0C5D870B" w14:textId="77777777" w:rsidR="00AB6AE3" w:rsidRPr="002B792E" w:rsidRDefault="00AB6AE3" w:rsidP="00A142DD">
            <w:pPr>
              <w:spacing w:line="276" w:lineRule="auto"/>
              <w:rPr>
                <w:i/>
              </w:rPr>
            </w:pPr>
            <w:r w:rsidRPr="002B792E">
              <w:rPr>
                <w:i/>
              </w:rPr>
              <w:t>ln_Land Dispute Resolution</w:t>
            </w:r>
          </w:p>
        </w:tc>
        <w:tc>
          <w:tcPr>
            <w:tcW w:w="0" w:type="auto"/>
            <w:vAlign w:val="center"/>
          </w:tcPr>
          <w:p w14:paraId="7B12612C" w14:textId="77777777" w:rsidR="00AB6AE3" w:rsidRPr="00D65137" w:rsidRDefault="00AB6AE3" w:rsidP="004938DC">
            <w:pPr>
              <w:spacing w:line="276" w:lineRule="auto"/>
              <w:jc w:val="right"/>
              <w:rPr>
                <w:color w:val="000000"/>
              </w:rPr>
            </w:pPr>
            <w:r w:rsidRPr="00D65137">
              <w:rPr>
                <w:color w:val="000000"/>
              </w:rPr>
              <w:t>21.411</w:t>
            </w:r>
          </w:p>
        </w:tc>
        <w:tc>
          <w:tcPr>
            <w:tcW w:w="0" w:type="auto"/>
            <w:vAlign w:val="center"/>
          </w:tcPr>
          <w:p w14:paraId="0B26CD53" w14:textId="77777777" w:rsidR="00AB6AE3" w:rsidRPr="00D65137" w:rsidRDefault="00AB6AE3" w:rsidP="004938DC">
            <w:pPr>
              <w:spacing w:line="276" w:lineRule="auto"/>
              <w:jc w:val="right"/>
              <w:rPr>
                <w:color w:val="000000"/>
              </w:rPr>
            </w:pPr>
            <w:r w:rsidRPr="00D65137">
              <w:rPr>
                <w:color w:val="000000"/>
              </w:rPr>
              <w:t>16.527</w:t>
            </w:r>
          </w:p>
        </w:tc>
        <w:tc>
          <w:tcPr>
            <w:tcW w:w="0" w:type="auto"/>
            <w:vAlign w:val="center"/>
          </w:tcPr>
          <w:p w14:paraId="6A9F91D6" w14:textId="77777777" w:rsidR="00AB6AE3" w:rsidRPr="00995FE5" w:rsidRDefault="00AB6AE3" w:rsidP="004938DC">
            <w:pPr>
              <w:spacing w:line="276" w:lineRule="auto"/>
              <w:jc w:val="right"/>
              <w:rPr>
                <w:color w:val="000000"/>
              </w:rPr>
            </w:pPr>
            <w:r w:rsidRPr="00995FE5">
              <w:rPr>
                <w:color w:val="000000"/>
              </w:rPr>
              <w:t>1.296</w:t>
            </w:r>
          </w:p>
        </w:tc>
        <w:tc>
          <w:tcPr>
            <w:tcW w:w="0" w:type="auto"/>
            <w:vAlign w:val="center"/>
          </w:tcPr>
          <w:p w14:paraId="06AAB0C9" w14:textId="77777777" w:rsidR="00AB6AE3" w:rsidRPr="00995FE5" w:rsidRDefault="00AB6AE3" w:rsidP="004938DC">
            <w:pPr>
              <w:spacing w:line="276" w:lineRule="auto"/>
              <w:jc w:val="right"/>
              <w:rPr>
                <w:color w:val="000000"/>
              </w:rPr>
            </w:pPr>
            <w:r w:rsidRPr="00995FE5">
              <w:rPr>
                <w:color w:val="000000"/>
              </w:rPr>
              <w:t>0.208</w:t>
            </w:r>
          </w:p>
        </w:tc>
      </w:tr>
      <w:tr w:rsidR="00AB6AE3" w:rsidRPr="00D65137" w14:paraId="674BDACA" w14:textId="77777777" w:rsidTr="0046506F">
        <w:tc>
          <w:tcPr>
            <w:tcW w:w="0" w:type="auto"/>
            <w:vAlign w:val="bottom"/>
          </w:tcPr>
          <w:p w14:paraId="676EF58B" w14:textId="77777777" w:rsidR="00AB6AE3" w:rsidRPr="002B792E" w:rsidRDefault="00AB6AE3" w:rsidP="00A142DD">
            <w:pPr>
              <w:spacing w:line="276" w:lineRule="auto"/>
              <w:rPr>
                <w:i/>
              </w:rPr>
            </w:pPr>
            <w:r w:rsidRPr="002B792E">
              <w:rPr>
                <w:i/>
              </w:rPr>
              <w:t>ln_Population</w:t>
            </w:r>
          </w:p>
        </w:tc>
        <w:tc>
          <w:tcPr>
            <w:tcW w:w="0" w:type="auto"/>
            <w:vAlign w:val="center"/>
          </w:tcPr>
          <w:p w14:paraId="26CED001" w14:textId="77777777" w:rsidR="00AB6AE3" w:rsidRPr="00D65137" w:rsidRDefault="00AB6AE3" w:rsidP="004938DC">
            <w:pPr>
              <w:spacing w:line="276" w:lineRule="auto"/>
              <w:jc w:val="right"/>
              <w:rPr>
                <w:color w:val="000000"/>
              </w:rPr>
            </w:pPr>
            <w:r w:rsidRPr="00D65137">
              <w:rPr>
                <w:color w:val="000000"/>
              </w:rPr>
              <w:t>-1.037</w:t>
            </w:r>
          </w:p>
        </w:tc>
        <w:tc>
          <w:tcPr>
            <w:tcW w:w="0" w:type="auto"/>
            <w:vAlign w:val="center"/>
          </w:tcPr>
          <w:p w14:paraId="670E8F87" w14:textId="77777777" w:rsidR="00AB6AE3" w:rsidRPr="00D65137" w:rsidRDefault="00AB6AE3" w:rsidP="004938DC">
            <w:pPr>
              <w:spacing w:line="276" w:lineRule="auto"/>
              <w:jc w:val="right"/>
              <w:rPr>
                <w:color w:val="000000"/>
              </w:rPr>
            </w:pPr>
            <w:r w:rsidRPr="00D65137">
              <w:rPr>
                <w:color w:val="000000"/>
              </w:rPr>
              <w:t>1.614</w:t>
            </w:r>
          </w:p>
        </w:tc>
        <w:tc>
          <w:tcPr>
            <w:tcW w:w="0" w:type="auto"/>
            <w:vAlign w:val="center"/>
          </w:tcPr>
          <w:p w14:paraId="34A50DBA" w14:textId="77777777" w:rsidR="00AB6AE3" w:rsidRPr="00995FE5" w:rsidRDefault="00AB6AE3" w:rsidP="004938DC">
            <w:pPr>
              <w:spacing w:line="276" w:lineRule="auto"/>
              <w:jc w:val="right"/>
              <w:rPr>
                <w:color w:val="000000"/>
              </w:rPr>
            </w:pPr>
            <w:r w:rsidRPr="00995FE5">
              <w:rPr>
                <w:color w:val="000000"/>
              </w:rPr>
              <w:t>-0.643</w:t>
            </w:r>
          </w:p>
        </w:tc>
        <w:tc>
          <w:tcPr>
            <w:tcW w:w="0" w:type="auto"/>
            <w:vAlign w:val="center"/>
          </w:tcPr>
          <w:p w14:paraId="3B0C70B0" w14:textId="77777777" w:rsidR="00AB6AE3" w:rsidRPr="00995FE5" w:rsidRDefault="00AB6AE3" w:rsidP="004938DC">
            <w:pPr>
              <w:spacing w:line="276" w:lineRule="auto"/>
              <w:jc w:val="right"/>
              <w:rPr>
                <w:color w:val="000000"/>
              </w:rPr>
            </w:pPr>
            <w:r w:rsidRPr="00995FE5">
              <w:rPr>
                <w:color w:val="000000"/>
              </w:rPr>
              <w:t>0.527</w:t>
            </w:r>
          </w:p>
        </w:tc>
      </w:tr>
      <w:tr w:rsidR="00AB6AE3" w:rsidRPr="00D65137" w14:paraId="505B6DC9" w14:textId="77777777" w:rsidTr="0046506F">
        <w:tc>
          <w:tcPr>
            <w:tcW w:w="0" w:type="auto"/>
            <w:vAlign w:val="bottom"/>
          </w:tcPr>
          <w:p w14:paraId="641562D4" w14:textId="77777777" w:rsidR="00AB6AE3" w:rsidRPr="002B792E" w:rsidRDefault="00AB6AE3" w:rsidP="00A142DD">
            <w:pPr>
              <w:spacing w:line="276" w:lineRule="auto"/>
              <w:rPr>
                <w:i/>
              </w:rPr>
            </w:pPr>
            <w:r w:rsidRPr="002B792E">
              <w:rPr>
                <w:i/>
              </w:rPr>
              <w:t>ln_Rural Population</w:t>
            </w:r>
          </w:p>
        </w:tc>
        <w:tc>
          <w:tcPr>
            <w:tcW w:w="0" w:type="auto"/>
            <w:vAlign w:val="center"/>
          </w:tcPr>
          <w:p w14:paraId="237D4AFD" w14:textId="77777777" w:rsidR="00AB6AE3" w:rsidRPr="00D65137" w:rsidRDefault="00AB6AE3" w:rsidP="004938DC">
            <w:pPr>
              <w:spacing w:line="276" w:lineRule="auto"/>
              <w:jc w:val="right"/>
              <w:rPr>
                <w:color w:val="000000"/>
              </w:rPr>
            </w:pPr>
            <w:r w:rsidRPr="00D65137">
              <w:rPr>
                <w:color w:val="000000"/>
              </w:rPr>
              <w:t>-31.974</w:t>
            </w:r>
          </w:p>
        </w:tc>
        <w:tc>
          <w:tcPr>
            <w:tcW w:w="0" w:type="auto"/>
            <w:vAlign w:val="center"/>
          </w:tcPr>
          <w:p w14:paraId="18B29BF0" w14:textId="77777777" w:rsidR="00AB6AE3" w:rsidRPr="00D65137" w:rsidRDefault="00AB6AE3" w:rsidP="004938DC">
            <w:pPr>
              <w:spacing w:line="276" w:lineRule="auto"/>
              <w:jc w:val="right"/>
              <w:rPr>
                <w:color w:val="000000"/>
              </w:rPr>
            </w:pPr>
            <w:r w:rsidRPr="00D65137">
              <w:rPr>
                <w:color w:val="000000"/>
              </w:rPr>
              <w:t>5.946</w:t>
            </w:r>
          </w:p>
        </w:tc>
        <w:tc>
          <w:tcPr>
            <w:tcW w:w="0" w:type="auto"/>
            <w:vAlign w:val="center"/>
          </w:tcPr>
          <w:p w14:paraId="1714F95E" w14:textId="77777777" w:rsidR="00AB6AE3" w:rsidRPr="00995FE5" w:rsidRDefault="00AB6AE3" w:rsidP="004938DC">
            <w:pPr>
              <w:spacing w:line="276" w:lineRule="auto"/>
              <w:jc w:val="right"/>
              <w:rPr>
                <w:color w:val="000000"/>
              </w:rPr>
            </w:pPr>
            <w:r w:rsidRPr="00995FE5">
              <w:rPr>
                <w:color w:val="000000"/>
              </w:rPr>
              <w:t>-5.377</w:t>
            </w:r>
          </w:p>
        </w:tc>
        <w:tc>
          <w:tcPr>
            <w:tcW w:w="0" w:type="auto"/>
            <w:vAlign w:val="center"/>
          </w:tcPr>
          <w:p w14:paraId="1AAF40F3" w14:textId="77777777" w:rsidR="00AB6AE3" w:rsidRPr="00995FE5" w:rsidRDefault="00AB6AE3" w:rsidP="004938DC">
            <w:pPr>
              <w:spacing w:line="276" w:lineRule="auto"/>
              <w:jc w:val="right"/>
              <w:rPr>
                <w:color w:val="000000"/>
              </w:rPr>
            </w:pPr>
            <w:r w:rsidRPr="00995FE5">
              <w:rPr>
                <w:color w:val="000000"/>
              </w:rPr>
              <w:t>0.000</w:t>
            </w:r>
          </w:p>
        </w:tc>
      </w:tr>
    </w:tbl>
    <w:p w14:paraId="6A78FF9A" w14:textId="77777777" w:rsidR="008C1043" w:rsidRDefault="0046506F" w:rsidP="009415F9">
      <w:pPr>
        <w:spacing w:line="360" w:lineRule="auto"/>
      </w:pPr>
      <w:r>
        <w:tab/>
      </w:r>
    </w:p>
    <w:p w14:paraId="459D526B" w14:textId="0674A6EC" w:rsidR="003A3FF2" w:rsidRDefault="008C1043" w:rsidP="003A3FF2">
      <w:pPr>
        <w:spacing w:line="360" w:lineRule="auto"/>
        <w:ind w:firstLine="720"/>
      </w:pPr>
      <w:r>
        <w:t>Above</w:t>
      </w:r>
      <w:r w:rsidR="0046506F">
        <w:t xml:space="preserve">, </w:t>
      </w:r>
      <w:r w:rsidR="0046506F" w:rsidRPr="0046506F">
        <w:rPr>
          <w:i/>
        </w:rPr>
        <w:t>Table 4</w:t>
      </w:r>
      <w:r w:rsidR="0046506F">
        <w:t xml:space="preserve"> displays </w:t>
      </w:r>
      <w:r w:rsidR="005B07BF">
        <w:t xml:space="preserve">the </w:t>
      </w:r>
      <w:r w:rsidR="0046506F">
        <w:t xml:space="preserve">regression results for the log-adjusted independent variables. </w:t>
      </w:r>
      <w:r>
        <w:t xml:space="preserve">Since the log-adjusted regression also rejects the null of the F-test, it is of interest to again look towards the </w:t>
      </w:r>
      <w:r>
        <w:rPr>
          <w:color w:val="000000" w:themeColor="text1"/>
        </w:rPr>
        <w:t>associated p-value</w:t>
      </w:r>
      <w:r w:rsidR="005B07BF">
        <w:rPr>
          <w:color w:val="000000" w:themeColor="text1"/>
        </w:rPr>
        <w:t xml:space="preserve">s </w:t>
      </w:r>
      <w:r>
        <w:rPr>
          <w:color w:val="000000" w:themeColor="text1"/>
        </w:rPr>
        <w:t>for each variable to determine the</w:t>
      </w:r>
      <w:r w:rsidR="005B07BF">
        <w:rPr>
          <w:color w:val="000000" w:themeColor="text1"/>
        </w:rPr>
        <w:t xml:space="preserve">ir </w:t>
      </w:r>
      <w:r>
        <w:rPr>
          <w:color w:val="000000" w:themeColor="text1"/>
        </w:rPr>
        <w:t xml:space="preserve">individual impact </w:t>
      </w:r>
      <w:r w:rsidR="005B07BF">
        <w:rPr>
          <w:color w:val="000000" w:themeColor="text1"/>
        </w:rPr>
        <w:t>on the model.</w:t>
      </w:r>
      <w:r>
        <w:rPr>
          <w:color w:val="000000" w:themeColor="text1"/>
        </w:rPr>
        <w:t xml:space="preserve"> At the 5% significance level, the variables </w:t>
      </w:r>
      <w:r w:rsidR="00155C32">
        <w:rPr>
          <w:i/>
          <w:color w:val="000000" w:themeColor="text1"/>
        </w:rPr>
        <w:t>ln_</w:t>
      </w:r>
      <w:r w:rsidRPr="002B792E">
        <w:rPr>
          <w:i/>
        </w:rPr>
        <w:t>Reliability of Infrastructure</w:t>
      </w:r>
      <w:r>
        <w:rPr>
          <w:i/>
        </w:rPr>
        <w:t xml:space="preserve">, </w:t>
      </w:r>
      <w:r w:rsidR="00155C32">
        <w:rPr>
          <w:i/>
        </w:rPr>
        <w:t>ln_</w:t>
      </w:r>
      <w:r w:rsidRPr="002B792E">
        <w:rPr>
          <w:i/>
        </w:rPr>
        <w:t>Transparency of Information</w:t>
      </w:r>
      <w:r>
        <w:rPr>
          <w:i/>
        </w:rPr>
        <w:t xml:space="preserve">, </w:t>
      </w:r>
      <w:r>
        <w:t xml:space="preserve">and </w:t>
      </w:r>
      <w:r w:rsidR="00155C32">
        <w:rPr>
          <w:i/>
        </w:rPr>
        <w:t>ln_</w:t>
      </w:r>
      <w:r>
        <w:rPr>
          <w:i/>
        </w:rPr>
        <w:t xml:space="preserve">Rural Population </w:t>
      </w:r>
      <w:r>
        <w:t>are considered statistically significant</w:t>
      </w:r>
      <w:r w:rsidR="005B07BF">
        <w:t xml:space="preserve"> due to their low </w:t>
      </w:r>
      <w:r w:rsidR="005B07BF" w:rsidRPr="005B07BF">
        <w:rPr>
          <w:color w:val="000000" w:themeColor="text1"/>
        </w:rPr>
        <w:t>p-value</w:t>
      </w:r>
      <w:r w:rsidR="005B07BF">
        <w:rPr>
          <w:color w:val="000000" w:themeColor="text1"/>
        </w:rPr>
        <w:t>s.</w:t>
      </w:r>
      <w:r w:rsidR="005B07BF" w:rsidRPr="005B07BF">
        <w:rPr>
          <w:color w:val="000000" w:themeColor="text1"/>
        </w:rPr>
        <w:t xml:space="preserve"> </w:t>
      </w:r>
      <w:r w:rsidR="00155C32">
        <w:t xml:space="preserve">Resulting from the log-transformation, </w:t>
      </w:r>
      <w:r w:rsidR="00155C32">
        <w:rPr>
          <w:i/>
        </w:rPr>
        <w:t xml:space="preserve">ln_Population </w:t>
      </w:r>
      <w:r w:rsidR="00155C32">
        <w:t>is no longer statically significant</w:t>
      </w:r>
      <w:r w:rsidR="005B07BF">
        <w:t xml:space="preserve"> as it was in the</w:t>
      </w:r>
      <w:r w:rsidR="00155C32">
        <w:t xml:space="preserve"> initial regression. </w:t>
      </w:r>
    </w:p>
    <w:p w14:paraId="44345279" w14:textId="77777777" w:rsidR="00EB5648" w:rsidRDefault="00EB5648" w:rsidP="003A3FF2">
      <w:pPr>
        <w:spacing w:line="360" w:lineRule="auto"/>
        <w:ind w:firstLine="720"/>
      </w:pPr>
    </w:p>
    <w:p w14:paraId="02AF9D07" w14:textId="264CC247" w:rsidR="00CE2F5D" w:rsidRDefault="00155C32" w:rsidP="003A3FF2">
      <w:pPr>
        <w:spacing w:line="360" w:lineRule="auto"/>
        <w:ind w:firstLine="720"/>
      </w:pPr>
      <w:r>
        <w:t xml:space="preserve">Another detectable change that has resulted from the log-transformation is the estimation for </w:t>
      </w:r>
      <w:r>
        <w:rPr>
          <w:i/>
        </w:rPr>
        <w:t xml:space="preserve">ln_Geographic Coverage. </w:t>
      </w:r>
      <w:r>
        <w:t xml:space="preserve">Previously, the estimation for </w:t>
      </w:r>
      <w:r>
        <w:rPr>
          <w:i/>
        </w:rPr>
        <w:t xml:space="preserve">Geographic Coverage </w:t>
      </w:r>
      <w:r>
        <w:t xml:space="preserve">revealed a positive impact on the dependent variable, </w:t>
      </w:r>
      <w:r w:rsidRPr="00D506F9">
        <w:rPr>
          <w:i/>
          <w:color w:val="000000" w:themeColor="text1"/>
        </w:rPr>
        <w:t>Credit Registry Coverage</w:t>
      </w:r>
      <w:r>
        <w:rPr>
          <w:i/>
          <w:color w:val="000000" w:themeColor="text1"/>
        </w:rPr>
        <w:t>.</w:t>
      </w:r>
      <w:r w:rsidR="005B07BF">
        <w:rPr>
          <w:i/>
          <w:color w:val="000000" w:themeColor="text1"/>
        </w:rPr>
        <w:t xml:space="preserve"> </w:t>
      </w:r>
      <w:r w:rsidR="005B07BF">
        <w:rPr>
          <w:color w:val="000000" w:themeColor="text1"/>
        </w:rPr>
        <w:t xml:space="preserve">It is possible </w:t>
      </w:r>
      <w:r w:rsidR="003A3FF2">
        <w:rPr>
          <w:color w:val="000000" w:themeColor="text1"/>
        </w:rPr>
        <w:t>to attribute</w:t>
      </w:r>
      <w:r w:rsidR="005B07BF">
        <w:rPr>
          <w:color w:val="000000" w:themeColor="text1"/>
        </w:rPr>
        <w:t xml:space="preserve"> </w:t>
      </w:r>
      <w:r w:rsidR="003A3FF2">
        <w:rPr>
          <w:color w:val="000000" w:themeColor="text1"/>
        </w:rPr>
        <w:lastRenderedPageBreak/>
        <w:t xml:space="preserve">this </w:t>
      </w:r>
      <w:r w:rsidR="005B07BF">
        <w:rPr>
          <w:color w:val="000000" w:themeColor="text1"/>
        </w:rPr>
        <w:t xml:space="preserve">change </w:t>
      </w:r>
      <w:r w:rsidR="003A3FF2">
        <w:rPr>
          <w:color w:val="000000" w:themeColor="text1"/>
        </w:rPr>
        <w:t>to</w:t>
      </w:r>
      <w:r w:rsidR="005B07BF">
        <w:rPr>
          <w:color w:val="000000" w:themeColor="text1"/>
        </w:rPr>
        <w:t xml:space="preserve"> the log-transformation</w:t>
      </w:r>
      <w:r w:rsidR="003A3FF2">
        <w:rPr>
          <w:color w:val="000000" w:themeColor="text1"/>
        </w:rPr>
        <w:t xml:space="preserve"> of the </w:t>
      </w:r>
      <w:r w:rsidR="003A3FF2">
        <w:rPr>
          <w:i/>
        </w:rPr>
        <w:t xml:space="preserve">Geographic Coverage </w:t>
      </w:r>
      <w:r w:rsidR="003A3FF2">
        <w:t xml:space="preserve">which compressed the scale of the variable, allowing the model to reveal its true impact. </w:t>
      </w:r>
    </w:p>
    <w:p w14:paraId="69C5DADB" w14:textId="77777777" w:rsidR="00EB5648" w:rsidRPr="003A3FF2" w:rsidRDefault="00EB5648" w:rsidP="003A3FF2">
      <w:pPr>
        <w:spacing w:line="360" w:lineRule="auto"/>
        <w:ind w:firstLine="720"/>
        <w:rPr>
          <w:color w:val="000000" w:themeColor="text1"/>
        </w:rPr>
      </w:pPr>
    </w:p>
    <w:p w14:paraId="5D12E3C3" w14:textId="14C0B862" w:rsidR="00004838" w:rsidRPr="00601689" w:rsidRDefault="00684FD3" w:rsidP="00601689">
      <w:pPr>
        <w:pStyle w:val="Heading2"/>
        <w:spacing w:line="360" w:lineRule="auto"/>
        <w:rPr>
          <w:rFonts w:ascii="Rockwell" w:hAnsi="Rockwell"/>
        </w:rPr>
      </w:pPr>
      <w:bookmarkStart w:id="27" w:name="_Toc78045096"/>
      <w:r w:rsidRPr="00684FD3">
        <w:rPr>
          <w:rFonts w:ascii="Rockwell" w:hAnsi="Rockwell"/>
        </w:rPr>
        <w:t>5.3 Limitations of Findings</w:t>
      </w:r>
      <w:bookmarkEnd w:id="27"/>
    </w:p>
    <w:p w14:paraId="508F53E7" w14:textId="59ECAE81" w:rsidR="00EB5648" w:rsidRDefault="00E11921" w:rsidP="00955628">
      <w:pPr>
        <w:spacing w:line="360" w:lineRule="auto"/>
        <w:rPr>
          <w:color w:val="000000" w:themeColor="text1"/>
        </w:rPr>
      </w:pPr>
      <w:r>
        <w:rPr>
          <w:color w:val="C00000"/>
        </w:rPr>
        <w:tab/>
      </w:r>
      <w:r>
        <w:rPr>
          <w:color w:val="000000" w:themeColor="text1"/>
        </w:rPr>
        <w:t>To conclude this section, it is important to acknowledge the limitations of the regression findings. First, the high RSS value</w:t>
      </w:r>
      <w:r w:rsidR="00216E73">
        <w:rPr>
          <w:color w:val="000000" w:themeColor="text1"/>
        </w:rPr>
        <w:t>s</w:t>
      </w:r>
      <w:r>
        <w:rPr>
          <w:color w:val="000000" w:themeColor="text1"/>
        </w:rPr>
        <w:t xml:space="preserve"> </w:t>
      </w:r>
      <w:r w:rsidR="00216E73">
        <w:rPr>
          <w:color w:val="000000" w:themeColor="text1"/>
        </w:rPr>
        <w:t>in both the initial and log-transformed regression are</w:t>
      </w:r>
      <w:r>
        <w:rPr>
          <w:color w:val="000000" w:themeColor="text1"/>
        </w:rPr>
        <w:t xml:space="preserve"> a potential concern. </w:t>
      </w:r>
      <w:r w:rsidR="007D67A1">
        <w:rPr>
          <w:color w:val="000000" w:themeColor="text1"/>
        </w:rPr>
        <w:t xml:space="preserve">Further study and statistical analysis of the model is recommended to greater understand the fit of the data to the model. This type of advanced analysis is beyond the scope of this paper, however. Second, </w:t>
      </w:r>
      <w:r w:rsidR="00216E73">
        <w:rPr>
          <w:color w:val="000000" w:themeColor="text1"/>
        </w:rPr>
        <w:t xml:space="preserve">the variables </w:t>
      </w:r>
      <w:r w:rsidR="007D67A1" w:rsidRPr="002B792E">
        <w:rPr>
          <w:i/>
        </w:rPr>
        <w:t>Reliability of Infrastructure</w:t>
      </w:r>
      <w:r w:rsidR="007D67A1">
        <w:rPr>
          <w:i/>
        </w:rPr>
        <w:t xml:space="preserve"> </w:t>
      </w:r>
      <w:r w:rsidR="007D67A1">
        <w:t xml:space="preserve">and </w:t>
      </w:r>
      <w:r w:rsidR="007D67A1" w:rsidRPr="002B792E">
        <w:rPr>
          <w:i/>
        </w:rPr>
        <w:t>Transparency of Information</w:t>
      </w:r>
      <w:r w:rsidR="00216E73">
        <w:rPr>
          <w:i/>
        </w:rPr>
        <w:t xml:space="preserve"> </w:t>
      </w:r>
      <w:r w:rsidR="00216E73">
        <w:t>were both revealed to be the statistically significant dimensions</w:t>
      </w:r>
      <w:r w:rsidR="00763F67">
        <w:t xml:space="preserve"> of</w:t>
      </w:r>
      <w:r w:rsidR="00216E73">
        <w:t xml:space="preserve"> security within the land administration. However, the estimations for both of these variables did not reveal a positive impact on the dependent variable. The estimation result</w:t>
      </w:r>
      <w:r w:rsidR="003A3FF2">
        <w:t xml:space="preserve">s </w:t>
      </w:r>
      <w:r w:rsidR="00216E73">
        <w:t xml:space="preserve">for </w:t>
      </w:r>
      <w:r w:rsidR="00216E73" w:rsidRPr="002B792E">
        <w:rPr>
          <w:i/>
        </w:rPr>
        <w:t>Reliability of Infrastructure</w:t>
      </w:r>
      <w:r w:rsidR="00216E73">
        <w:rPr>
          <w:i/>
        </w:rPr>
        <w:t xml:space="preserve"> </w:t>
      </w:r>
      <w:r w:rsidR="00216E73">
        <w:t xml:space="preserve">were shown to have a negative impact on </w:t>
      </w:r>
      <w:r w:rsidR="00216E73" w:rsidRPr="00D506F9">
        <w:rPr>
          <w:i/>
          <w:color w:val="000000" w:themeColor="text1"/>
        </w:rPr>
        <w:t>Credit Registry Coverage</w:t>
      </w:r>
      <w:r w:rsidR="003A3FF2">
        <w:rPr>
          <w:i/>
          <w:color w:val="000000" w:themeColor="text1"/>
        </w:rPr>
        <w:t xml:space="preserve"> </w:t>
      </w:r>
      <w:r w:rsidR="003A3FF2">
        <w:rPr>
          <w:color w:val="000000" w:themeColor="text1"/>
        </w:rPr>
        <w:t>across both models.</w:t>
      </w:r>
      <w:r w:rsidR="00216E73">
        <w:rPr>
          <w:i/>
          <w:color w:val="000000" w:themeColor="text1"/>
        </w:rPr>
        <w:t xml:space="preserve"> </w:t>
      </w:r>
      <w:r w:rsidR="00216E73">
        <w:rPr>
          <w:color w:val="000000" w:themeColor="text1"/>
        </w:rPr>
        <w:t xml:space="preserve">As this </w:t>
      </w:r>
      <w:r w:rsidR="003A3FF2">
        <w:rPr>
          <w:color w:val="000000" w:themeColor="text1"/>
        </w:rPr>
        <w:t xml:space="preserve">research </w:t>
      </w:r>
      <w:r w:rsidR="00216E73">
        <w:rPr>
          <w:color w:val="000000" w:themeColor="text1"/>
        </w:rPr>
        <w:t xml:space="preserve">finding is not in line with this paper’s findings from the literature review, it is recommended that further study be done to understand the source of the negative estimation. While it is possible that this </w:t>
      </w:r>
      <w:r w:rsidR="003A3FF2">
        <w:rPr>
          <w:color w:val="000000" w:themeColor="text1"/>
        </w:rPr>
        <w:t>outcome</w:t>
      </w:r>
      <w:r w:rsidR="00216E73">
        <w:rPr>
          <w:color w:val="000000" w:themeColor="text1"/>
        </w:rPr>
        <w:t xml:space="preserve"> may be due to statistical issues with</w:t>
      </w:r>
      <w:r w:rsidR="008C1043">
        <w:rPr>
          <w:color w:val="000000" w:themeColor="text1"/>
        </w:rPr>
        <w:t>in</w:t>
      </w:r>
      <w:r w:rsidR="00216E73">
        <w:rPr>
          <w:color w:val="000000" w:themeColor="text1"/>
        </w:rPr>
        <w:t xml:space="preserve"> the model, </w:t>
      </w:r>
      <w:r w:rsidR="008C1043">
        <w:rPr>
          <w:color w:val="000000" w:themeColor="text1"/>
        </w:rPr>
        <w:t xml:space="preserve">it would be interesting to further explore this finding </w:t>
      </w:r>
      <w:r w:rsidR="003A3FF2">
        <w:rPr>
          <w:color w:val="000000" w:themeColor="text1"/>
        </w:rPr>
        <w:t xml:space="preserve">as it relates to </w:t>
      </w:r>
      <w:r w:rsidR="008C1043">
        <w:rPr>
          <w:color w:val="000000" w:themeColor="text1"/>
        </w:rPr>
        <w:t xml:space="preserve">the findings of Besley and Ghatak (2009) on the economic efficiency of improving the security of property rights. </w:t>
      </w:r>
    </w:p>
    <w:p w14:paraId="67EF6034" w14:textId="77777777" w:rsidR="00466083" w:rsidRPr="00CE2F5D" w:rsidRDefault="00466083" w:rsidP="00955628">
      <w:pPr>
        <w:spacing w:line="360" w:lineRule="auto"/>
        <w:rPr>
          <w:color w:val="000000" w:themeColor="text1"/>
        </w:rPr>
      </w:pPr>
    </w:p>
    <w:p w14:paraId="1A756AA9" w14:textId="77777777" w:rsidR="00324B94" w:rsidRPr="00675D94" w:rsidRDefault="003463CE" w:rsidP="00675D94">
      <w:pPr>
        <w:pStyle w:val="Heading1"/>
        <w:spacing w:line="360" w:lineRule="auto"/>
        <w:rPr>
          <w:rFonts w:ascii="Rockwell" w:hAnsi="Rockwell"/>
          <w:sz w:val="28"/>
          <w:szCs w:val="28"/>
        </w:rPr>
      </w:pPr>
      <w:bookmarkStart w:id="28" w:name="_Toc78045097"/>
      <w:r w:rsidRPr="00316E23">
        <w:rPr>
          <w:rFonts w:ascii="Rockwell" w:hAnsi="Rockwell"/>
          <w:sz w:val="28"/>
          <w:szCs w:val="28"/>
        </w:rPr>
        <w:t>6.</w:t>
      </w:r>
      <w:r w:rsidR="00D378D6" w:rsidRPr="00316E23">
        <w:rPr>
          <w:rFonts w:ascii="Rockwell" w:hAnsi="Rockwell"/>
          <w:sz w:val="28"/>
          <w:szCs w:val="28"/>
        </w:rPr>
        <w:t xml:space="preserve"> Policy Recommendations &amp; </w:t>
      </w:r>
      <w:r w:rsidR="00D37CC3">
        <w:rPr>
          <w:rFonts w:ascii="Rockwell" w:hAnsi="Rockwell"/>
          <w:sz w:val="28"/>
          <w:szCs w:val="28"/>
        </w:rPr>
        <w:t>Concluding Remarks</w:t>
      </w:r>
      <w:bookmarkEnd w:id="28"/>
    </w:p>
    <w:p w14:paraId="2589A126" w14:textId="77777777" w:rsidR="00324B94" w:rsidRDefault="00324B94" w:rsidP="00675D94">
      <w:pPr>
        <w:pStyle w:val="Heading2"/>
        <w:spacing w:line="360" w:lineRule="auto"/>
        <w:rPr>
          <w:rFonts w:ascii="Rockwell" w:hAnsi="Rockwell"/>
        </w:rPr>
      </w:pPr>
      <w:bookmarkStart w:id="29" w:name="_Toc78045098"/>
      <w:r>
        <w:rPr>
          <w:rFonts w:ascii="Rockwell" w:hAnsi="Rockwell"/>
        </w:rPr>
        <w:t xml:space="preserve">6.1 </w:t>
      </w:r>
      <w:r w:rsidR="005E43F5">
        <w:rPr>
          <w:rFonts w:ascii="Rockwell" w:hAnsi="Rockwell"/>
        </w:rPr>
        <w:t xml:space="preserve">Recommended </w:t>
      </w:r>
      <w:r>
        <w:rPr>
          <w:rFonts w:ascii="Rockwell" w:hAnsi="Rockwell"/>
        </w:rPr>
        <w:t>Policy Path</w:t>
      </w:r>
      <w:bookmarkEnd w:id="29"/>
    </w:p>
    <w:p w14:paraId="635CAB89" w14:textId="4E03DF77" w:rsidR="00285140" w:rsidRDefault="00155C32" w:rsidP="00155C32">
      <w:pPr>
        <w:spacing w:line="360" w:lineRule="auto"/>
        <w:ind w:firstLine="720"/>
        <w:rPr>
          <w:color w:val="000000" w:themeColor="text1"/>
        </w:rPr>
      </w:pPr>
      <w:r>
        <w:rPr>
          <w:color w:val="000000" w:themeColor="text1"/>
        </w:rPr>
        <w:t>Reflecting on the findings of the literature review</w:t>
      </w:r>
      <w:r w:rsidR="003A3FF2">
        <w:rPr>
          <w:color w:val="000000" w:themeColor="text1"/>
        </w:rPr>
        <w:t xml:space="preserve"> and research model</w:t>
      </w:r>
      <w:r>
        <w:rPr>
          <w:color w:val="000000" w:themeColor="text1"/>
        </w:rPr>
        <w:t xml:space="preserve">, </w:t>
      </w:r>
      <w:r w:rsidR="00285140" w:rsidRPr="00351494">
        <w:rPr>
          <w:color w:val="000000" w:themeColor="text1"/>
        </w:rPr>
        <w:t>this paper advocates for future land reform polic</w:t>
      </w:r>
      <w:r w:rsidR="00285140">
        <w:rPr>
          <w:color w:val="000000" w:themeColor="text1"/>
        </w:rPr>
        <w:t>i</w:t>
      </w:r>
      <w:r w:rsidR="00285140" w:rsidRPr="00351494">
        <w:rPr>
          <w:color w:val="000000" w:themeColor="text1"/>
        </w:rPr>
        <w:t xml:space="preserve">es to be directed towards improving </w:t>
      </w:r>
      <w:r w:rsidR="003A3FF2">
        <w:rPr>
          <w:color w:val="000000" w:themeColor="text1"/>
        </w:rPr>
        <w:t>security within t</w:t>
      </w:r>
      <w:r w:rsidR="00285140" w:rsidRPr="00351494">
        <w:rPr>
          <w:color w:val="000000" w:themeColor="text1"/>
        </w:rPr>
        <w:t xml:space="preserve">he land administration system. </w:t>
      </w:r>
      <w:r w:rsidR="003A3FF2">
        <w:rPr>
          <w:color w:val="000000" w:themeColor="text1"/>
        </w:rPr>
        <w:t xml:space="preserve">This paper recommends the incorporation of </w:t>
      </w:r>
      <w:r w:rsidR="003A3FF2" w:rsidRPr="00351494">
        <w:rPr>
          <w:color w:val="000000" w:themeColor="text1"/>
        </w:rPr>
        <w:t>geographic information system (GIS) technology in the land administration system</w:t>
      </w:r>
      <w:r w:rsidR="003A3FF2">
        <w:rPr>
          <w:color w:val="000000" w:themeColor="text1"/>
        </w:rPr>
        <w:t xml:space="preserve"> as the</w:t>
      </w:r>
      <w:r w:rsidR="00285140" w:rsidRPr="00351494">
        <w:rPr>
          <w:color w:val="000000" w:themeColor="text1"/>
        </w:rPr>
        <w:t xml:space="preserve"> policy avenue </w:t>
      </w:r>
      <w:r w:rsidR="003A3FF2">
        <w:rPr>
          <w:color w:val="000000" w:themeColor="text1"/>
        </w:rPr>
        <w:t>for enhancing security in property transactions</w:t>
      </w:r>
      <w:r w:rsidR="00285140" w:rsidRPr="00351494">
        <w:rPr>
          <w:color w:val="000000" w:themeColor="text1"/>
        </w:rPr>
        <w:t>. GIS technology allows for the consolidation of all information managed by the land administratio</w:t>
      </w:r>
      <w:r w:rsidR="003A3FF2">
        <w:rPr>
          <w:color w:val="000000" w:themeColor="text1"/>
        </w:rPr>
        <w:t>n in an accessible and reliable format</w:t>
      </w:r>
      <w:r w:rsidR="00285140" w:rsidRPr="00351494">
        <w:rPr>
          <w:color w:val="000000" w:themeColor="text1"/>
        </w:rPr>
        <w:t>. The use of a single, comprehensive</w:t>
      </w:r>
      <w:r w:rsidR="00285140">
        <w:rPr>
          <w:color w:val="000000" w:themeColor="text1"/>
        </w:rPr>
        <w:t>,</w:t>
      </w:r>
      <w:r w:rsidR="00285140" w:rsidRPr="00351494">
        <w:rPr>
          <w:color w:val="000000" w:themeColor="text1"/>
        </w:rPr>
        <w:t xml:space="preserve"> and digitalized system allows governments “to accurately represent and understand property value as well as provide secure and authoritative land records and parcel </w:t>
      </w:r>
      <w:r w:rsidR="00285140" w:rsidRPr="00351494">
        <w:rPr>
          <w:color w:val="000000" w:themeColor="text1"/>
        </w:rPr>
        <w:lastRenderedPageBreak/>
        <w:t>data for widespread government and public use.”</w:t>
      </w:r>
      <w:r w:rsidR="00285140" w:rsidRPr="00351494">
        <w:rPr>
          <w:rStyle w:val="FootnoteReference"/>
          <w:color w:val="000000" w:themeColor="text1"/>
        </w:rPr>
        <w:footnoteReference w:id="61"/>
      </w:r>
      <w:r w:rsidR="00285140" w:rsidRPr="00351494">
        <w:rPr>
          <w:color w:val="000000" w:themeColor="text1"/>
        </w:rPr>
        <w:t xml:space="preserve"> </w:t>
      </w:r>
      <w:r w:rsidR="00285140">
        <w:rPr>
          <w:color w:val="000000" w:themeColor="text1"/>
        </w:rPr>
        <w:t xml:space="preserve">In terms of policy recommendations for the use of GIS technology, this paper draws upon the experiences of countries whose land administration systems have undergone reform to increase the technological capacity of their institutions. </w:t>
      </w:r>
    </w:p>
    <w:p w14:paraId="4EA6CEC9" w14:textId="77777777" w:rsidR="00D506F9" w:rsidRPr="00285140" w:rsidRDefault="00D506F9" w:rsidP="00485A7E">
      <w:pPr>
        <w:spacing w:line="360" w:lineRule="auto"/>
        <w:rPr>
          <w:color w:val="000000" w:themeColor="text1"/>
        </w:rPr>
      </w:pPr>
    </w:p>
    <w:p w14:paraId="752DA1A6" w14:textId="6BDF492F" w:rsidR="00285140" w:rsidRDefault="00285140" w:rsidP="00285140">
      <w:pPr>
        <w:spacing w:line="360" w:lineRule="auto"/>
        <w:ind w:firstLine="720"/>
        <w:rPr>
          <w:color w:val="000000" w:themeColor="text1"/>
        </w:rPr>
      </w:pPr>
      <w:r>
        <w:rPr>
          <w:color w:val="000000" w:themeColor="text1"/>
        </w:rPr>
        <w:t xml:space="preserve">Digitalization of the land administration system to enhance the security of property rights is not a novel policy approach being presented here in this paper. It is </w:t>
      </w:r>
      <w:r w:rsidR="006E4BFD">
        <w:rPr>
          <w:color w:val="000000" w:themeColor="text1"/>
        </w:rPr>
        <w:t>one of the</w:t>
      </w:r>
      <w:r>
        <w:rPr>
          <w:color w:val="000000" w:themeColor="text1"/>
        </w:rPr>
        <w:t xml:space="preserve"> modern approach</w:t>
      </w:r>
      <w:r w:rsidR="006E4BFD">
        <w:rPr>
          <w:color w:val="000000" w:themeColor="text1"/>
        </w:rPr>
        <w:t>es</w:t>
      </w:r>
      <w:r>
        <w:rPr>
          <w:color w:val="000000" w:themeColor="text1"/>
        </w:rPr>
        <w:t xml:space="preserve"> to the management of land administration systems that continues </w:t>
      </w:r>
      <w:r w:rsidR="006E4BFD">
        <w:rPr>
          <w:color w:val="000000" w:themeColor="text1"/>
        </w:rPr>
        <w:t>to gain</w:t>
      </w:r>
      <w:r>
        <w:rPr>
          <w:color w:val="000000" w:themeColor="text1"/>
        </w:rPr>
        <w:t xml:space="preserve"> popularity </w:t>
      </w:r>
      <w:r w:rsidR="006E4BFD">
        <w:rPr>
          <w:color w:val="000000" w:themeColor="text1"/>
        </w:rPr>
        <w:t>as</w:t>
      </w:r>
      <w:r>
        <w:rPr>
          <w:color w:val="000000" w:themeColor="text1"/>
        </w:rPr>
        <w:t xml:space="preserve"> GIS </w:t>
      </w:r>
      <w:r w:rsidR="006E4BFD">
        <w:rPr>
          <w:color w:val="000000" w:themeColor="text1"/>
        </w:rPr>
        <w:t>technological capabilities continue to improve</w:t>
      </w:r>
      <w:r>
        <w:rPr>
          <w:color w:val="000000" w:themeColor="text1"/>
        </w:rPr>
        <w:t>. The World Bank, for example, has advocated for the process of digitalization and has since funded the implementation of programs globally. Recently in Latin America, the World Bank</w:t>
      </w:r>
      <w:r w:rsidR="006E4BFD">
        <w:rPr>
          <w:color w:val="000000" w:themeColor="text1"/>
        </w:rPr>
        <w:t xml:space="preserve"> has</w:t>
      </w:r>
      <w:r>
        <w:rPr>
          <w:color w:val="000000" w:themeColor="text1"/>
        </w:rPr>
        <w:t xml:space="preserve"> allocated over 45 million USD to fund a rural property registration program in Brazil and 100 million USD to </w:t>
      </w:r>
      <w:r w:rsidR="006E4BFD">
        <w:rPr>
          <w:color w:val="000000" w:themeColor="text1"/>
        </w:rPr>
        <w:t xml:space="preserve">support </w:t>
      </w:r>
      <w:r>
        <w:rPr>
          <w:color w:val="000000" w:themeColor="text1"/>
        </w:rPr>
        <w:t>Colombia’s multipurpose cadastre.</w:t>
      </w:r>
      <w:r>
        <w:rPr>
          <w:rStyle w:val="FootnoteReference"/>
          <w:color w:val="000000" w:themeColor="text1"/>
        </w:rPr>
        <w:footnoteReference w:id="62"/>
      </w:r>
    </w:p>
    <w:p w14:paraId="729F594F" w14:textId="77777777" w:rsidR="00285140" w:rsidRDefault="00285140" w:rsidP="00285140">
      <w:pPr>
        <w:spacing w:line="360" w:lineRule="auto"/>
        <w:ind w:firstLine="720"/>
        <w:rPr>
          <w:color w:val="000000" w:themeColor="text1"/>
        </w:rPr>
      </w:pPr>
    </w:p>
    <w:p w14:paraId="42EE1E80" w14:textId="259B51B1" w:rsidR="00CE2F5D" w:rsidRDefault="00285140" w:rsidP="00E828B7">
      <w:pPr>
        <w:spacing w:line="360" w:lineRule="auto"/>
        <w:ind w:firstLine="720"/>
        <w:rPr>
          <w:color w:val="000000" w:themeColor="text1"/>
        </w:rPr>
      </w:pPr>
      <w:r w:rsidRPr="00351494">
        <w:rPr>
          <w:color w:val="000000" w:themeColor="text1"/>
        </w:rPr>
        <w:t xml:space="preserve">The Environmental Systems Research Institute (Esri) is a geographic information system company </w:t>
      </w:r>
      <w:r>
        <w:rPr>
          <w:color w:val="000000" w:themeColor="text1"/>
        </w:rPr>
        <w:t>that</w:t>
      </w:r>
      <w:r w:rsidRPr="00351494">
        <w:rPr>
          <w:color w:val="000000" w:themeColor="text1"/>
        </w:rPr>
        <w:t xml:space="preserve"> is currently advancing the use of GIS in Latin America.</w:t>
      </w:r>
      <w:r w:rsidRPr="0090295C">
        <w:rPr>
          <w:color w:val="000000" w:themeColor="text1"/>
        </w:rPr>
        <w:t xml:space="preserve"> </w:t>
      </w:r>
      <w:r>
        <w:rPr>
          <w:color w:val="000000" w:themeColor="text1"/>
        </w:rPr>
        <w:t>Esri advocates for the use of GIS technologies to enhance the “</w:t>
      </w:r>
      <w:r w:rsidRPr="0090295C">
        <w:rPr>
          <w:color w:val="000000" w:themeColor="text1"/>
        </w:rPr>
        <w:t>reliability, quality, and accessibility of land information for both the government and the public</w:t>
      </w:r>
      <w:r>
        <w:rPr>
          <w:color w:val="000000" w:themeColor="text1"/>
        </w:rPr>
        <w:t>.”</w:t>
      </w:r>
      <w:r>
        <w:rPr>
          <w:rStyle w:val="FootnoteReference"/>
          <w:color w:val="000000" w:themeColor="text1"/>
        </w:rPr>
        <w:footnoteReference w:id="63"/>
      </w:r>
      <w:r>
        <w:rPr>
          <w:color w:val="000000" w:themeColor="text1"/>
        </w:rPr>
        <w:t xml:space="preserve"> Esri is of note for its success in balancing GIS technologies with local capacities. </w:t>
      </w:r>
      <w:r w:rsidRPr="0090295C">
        <w:t xml:space="preserve">Acharya, Ramaprasad, and Vasudevan (2018) find that in </w:t>
      </w:r>
      <w:r>
        <w:t>a developing</w:t>
      </w:r>
      <w:r w:rsidRPr="0090295C">
        <w:t xml:space="preserve"> context, </w:t>
      </w:r>
      <w:r w:rsidRPr="0090295C">
        <w:rPr>
          <w:color w:val="000000" w:themeColor="text1"/>
        </w:rPr>
        <w:t>“it becomes necessary to fit in human intermediaries to ensure appropriate penetration of ICT technology to reach the poor as well as to endorse participatory land governance</w:t>
      </w:r>
      <w:r>
        <w:rPr>
          <w:color w:val="000000" w:themeColor="text1"/>
        </w:rPr>
        <w:t>.</w:t>
      </w:r>
      <w:r w:rsidRPr="0090295C">
        <w:rPr>
          <w:color w:val="000000" w:themeColor="text1"/>
        </w:rPr>
        <w:t>”</w:t>
      </w:r>
      <w:r w:rsidRPr="0090295C">
        <w:rPr>
          <w:rStyle w:val="FootnoteReference"/>
          <w:color w:val="000000" w:themeColor="text1"/>
        </w:rPr>
        <w:footnoteReference w:id="64"/>
      </w:r>
      <w:r>
        <w:rPr>
          <w:color w:val="000000" w:themeColor="text1"/>
        </w:rPr>
        <w:t xml:space="preserve"> Brandford (2020) elaborates on this view stating, </w:t>
      </w:r>
      <w:r>
        <w:rPr>
          <w:color w:val="000000" w:themeColor="text1"/>
          <w:shd w:val="clear" w:color="auto" w:fill="FFFFFF"/>
        </w:rPr>
        <w:t>“[w]</w:t>
      </w:r>
      <w:r w:rsidRPr="0090295C">
        <w:rPr>
          <w:color w:val="000000" w:themeColor="text1"/>
          <w:shd w:val="clear" w:color="auto" w:fill="FFFFFF"/>
        </w:rPr>
        <w:t>hen this digital process is used exclusively, and not coupled with more traditional surveying techniques, the process lacks confirmation via ground truthing, risking fraud.”</w:t>
      </w:r>
      <w:r>
        <w:rPr>
          <w:rStyle w:val="FootnoteReference"/>
          <w:color w:val="000000" w:themeColor="text1"/>
          <w:shd w:val="clear" w:color="auto" w:fill="FFFFFF"/>
        </w:rPr>
        <w:footnoteReference w:id="65"/>
      </w:r>
      <w:r>
        <w:rPr>
          <w:color w:val="000000" w:themeColor="text1"/>
        </w:rPr>
        <w:t xml:space="preserve">Aligning with these understandings of GIS, this paper emphasizes the need for an anthropological complement to the technological </w:t>
      </w:r>
      <w:r>
        <w:rPr>
          <w:color w:val="000000" w:themeColor="text1"/>
        </w:rPr>
        <w:lastRenderedPageBreak/>
        <w:t xml:space="preserve">component of GIS. To protect local stakeholders, a participatory and inclusive approach to GIS is recommended. To learn from the experience of successful participatory GIS programs, this paper </w:t>
      </w:r>
      <w:r w:rsidR="00E828B7">
        <w:rPr>
          <w:color w:val="000000" w:themeColor="text1"/>
        </w:rPr>
        <w:t>looks</w:t>
      </w:r>
      <w:r>
        <w:rPr>
          <w:color w:val="000000" w:themeColor="text1"/>
        </w:rPr>
        <w:t xml:space="preserve"> </w:t>
      </w:r>
      <w:r w:rsidR="00E828B7">
        <w:rPr>
          <w:color w:val="000000" w:themeColor="text1"/>
        </w:rPr>
        <w:t>to</w:t>
      </w:r>
      <w:r>
        <w:rPr>
          <w:color w:val="000000" w:themeColor="text1"/>
        </w:rPr>
        <w:t xml:space="preserve"> the experience of GIS in Suriname. </w:t>
      </w:r>
    </w:p>
    <w:p w14:paraId="5299B5FC" w14:textId="77777777" w:rsidR="00E828B7" w:rsidRDefault="00E828B7" w:rsidP="00E828B7">
      <w:pPr>
        <w:spacing w:line="360" w:lineRule="auto"/>
        <w:ind w:firstLine="720"/>
        <w:rPr>
          <w:color w:val="000000" w:themeColor="text1"/>
        </w:rPr>
      </w:pPr>
    </w:p>
    <w:p w14:paraId="5A3E6B20" w14:textId="1C9E12D9" w:rsidR="00F37426" w:rsidRDefault="00285140" w:rsidP="00E828B7">
      <w:pPr>
        <w:spacing w:line="360" w:lineRule="auto"/>
        <w:ind w:firstLine="720"/>
        <w:rPr>
          <w:color w:val="000000" w:themeColor="text1"/>
        </w:rPr>
      </w:pPr>
      <w:r>
        <w:rPr>
          <w:color w:val="000000" w:themeColor="text1"/>
        </w:rPr>
        <w:t xml:space="preserve">Conservation International Suriname (CI Suriname) is currently implementing a participatory mapping process to facilitate </w:t>
      </w:r>
      <w:r w:rsidRPr="0090295C">
        <w:rPr>
          <w:color w:val="000000" w:themeColor="text1"/>
        </w:rPr>
        <w:t xml:space="preserve">a </w:t>
      </w:r>
      <w:r>
        <w:rPr>
          <w:color w:val="000000" w:themeColor="text1"/>
        </w:rPr>
        <w:t>“</w:t>
      </w:r>
      <w:r w:rsidRPr="0090295C">
        <w:rPr>
          <w:color w:val="000000" w:themeColor="text1"/>
        </w:rPr>
        <w:t>community bottom-up approach</w:t>
      </w:r>
      <w:r>
        <w:rPr>
          <w:color w:val="000000" w:themeColor="text1"/>
        </w:rPr>
        <w:t>” which combines community mapping with GIS technology.</w:t>
      </w:r>
      <w:r w:rsidRPr="00AC44EF">
        <w:rPr>
          <w:rStyle w:val="FootnoteReference"/>
          <w:color w:val="000000" w:themeColor="text1"/>
        </w:rPr>
        <w:t xml:space="preserve"> </w:t>
      </w:r>
      <w:r w:rsidRPr="0090295C">
        <w:rPr>
          <w:rStyle w:val="FootnoteReference"/>
          <w:color w:val="000000" w:themeColor="text1"/>
        </w:rPr>
        <w:footnoteReference w:id="66"/>
      </w:r>
      <w:r>
        <w:rPr>
          <w:color w:val="000000" w:themeColor="text1"/>
        </w:rPr>
        <w:t xml:space="preserve"> Through this participatory approach, local spatial knowledge is being used to inform the production of digital maps. Reflecting on the program’s success in Suriname, Esri notes: “[i]</w:t>
      </w:r>
      <w:r w:rsidRPr="0090295C">
        <w:rPr>
          <w:color w:val="000000" w:themeColor="text1"/>
        </w:rPr>
        <w:t>ndigenous communities see the importance of the maps to facilitate dialog with outsiders.”</w:t>
      </w:r>
      <w:r w:rsidRPr="0090295C">
        <w:rPr>
          <w:rStyle w:val="FootnoteReference"/>
          <w:color w:val="000000" w:themeColor="text1"/>
        </w:rPr>
        <w:footnoteReference w:id="67"/>
      </w:r>
      <w:r>
        <w:rPr>
          <w:color w:val="000000" w:themeColor="text1"/>
        </w:rPr>
        <w:t xml:space="preserve"> In sum, the participatory GIS program in Suriname was successful in that it met the needs for technological advancement while honoring the practices and traditions of the local stakeholders.</w:t>
      </w:r>
      <w:r w:rsidR="00CE2F5D">
        <w:rPr>
          <w:color w:val="000000" w:themeColor="text1"/>
        </w:rPr>
        <w:t xml:space="preserve"> This paper </w:t>
      </w:r>
      <w:r w:rsidR="00E828B7">
        <w:rPr>
          <w:color w:val="000000" w:themeColor="text1"/>
        </w:rPr>
        <w:t xml:space="preserve">is </w:t>
      </w:r>
      <w:r w:rsidR="00CE2F5D">
        <w:rPr>
          <w:color w:val="000000" w:themeColor="text1"/>
        </w:rPr>
        <w:t xml:space="preserve">in support of </w:t>
      </w:r>
      <w:r w:rsidR="00E828B7">
        <w:rPr>
          <w:color w:val="000000" w:themeColor="text1"/>
        </w:rPr>
        <w:t xml:space="preserve">comparable </w:t>
      </w:r>
      <w:r w:rsidR="00CE2F5D">
        <w:rPr>
          <w:color w:val="000000" w:themeColor="text1"/>
        </w:rPr>
        <w:t xml:space="preserve">participatory forms of GIS as a policy path to increasing security within land and policy institutions in </w:t>
      </w:r>
      <w:r w:rsidR="00E828B7">
        <w:rPr>
          <w:color w:val="000000" w:themeColor="text1"/>
        </w:rPr>
        <w:t>the LAC region.</w:t>
      </w:r>
    </w:p>
    <w:p w14:paraId="39CE1C9B" w14:textId="77777777" w:rsidR="00CE2F5D" w:rsidRPr="00285140" w:rsidRDefault="00CE2F5D" w:rsidP="00CE2F5D">
      <w:pPr>
        <w:spacing w:line="360" w:lineRule="auto"/>
        <w:ind w:firstLine="720"/>
        <w:rPr>
          <w:color w:val="000000" w:themeColor="text1"/>
        </w:rPr>
      </w:pPr>
    </w:p>
    <w:p w14:paraId="72B29142" w14:textId="77777777" w:rsidR="00324B94" w:rsidRDefault="00324B94" w:rsidP="00675D94">
      <w:pPr>
        <w:pStyle w:val="Heading2"/>
        <w:spacing w:line="360" w:lineRule="auto"/>
        <w:rPr>
          <w:rFonts w:ascii="Rockwell" w:hAnsi="Rockwell"/>
        </w:rPr>
      </w:pPr>
      <w:bookmarkStart w:id="30" w:name="_Toc78045099"/>
      <w:r>
        <w:rPr>
          <w:rFonts w:ascii="Rockwell" w:hAnsi="Rockwell"/>
        </w:rPr>
        <w:t xml:space="preserve">6.2 </w:t>
      </w:r>
      <w:r w:rsidR="00D37CC3">
        <w:rPr>
          <w:rFonts w:ascii="Rockwell" w:hAnsi="Rockwell"/>
        </w:rPr>
        <w:t>Concluding Remarks</w:t>
      </w:r>
      <w:bookmarkEnd w:id="30"/>
    </w:p>
    <w:p w14:paraId="6242A222" w14:textId="1ED00E0F" w:rsidR="00763F67" w:rsidRDefault="00466083" w:rsidP="00CE2095">
      <w:pPr>
        <w:spacing w:line="360" w:lineRule="auto"/>
      </w:pPr>
      <w:r>
        <w:tab/>
      </w:r>
      <w:r w:rsidR="00E828B7">
        <w:t xml:space="preserve">This paper provided a discussion of property rights and land institutions in the context of Latin America and the Caribbean. The link between property rights and credit market access was explored and the dimension of security underscored the discussion. </w:t>
      </w:r>
      <w:r w:rsidR="00CE2095">
        <w:t xml:space="preserve">Hernando de Soto’s property rights theory of development was assessed in terms of its influence on policymakers and the flaws in his theory were identified. This paper employed a cross-sectional regression model to determine the impact of security on credit market access in a sample of Latin American and Caribbean countries. </w:t>
      </w:r>
      <w:r>
        <w:t xml:space="preserve">Due to the limitations of secondary research, this paper recommends that more research on this topic be conducted in the future. </w:t>
      </w:r>
      <w:r w:rsidR="00CE2095">
        <w:t xml:space="preserve">Finally, this paper </w:t>
      </w:r>
      <w:r w:rsidR="00103440">
        <w:t>concludes by recommending</w:t>
      </w:r>
      <w:r w:rsidR="00CE2095">
        <w:t xml:space="preserve"> </w:t>
      </w:r>
      <w:r w:rsidR="00CE2095">
        <w:rPr>
          <w:color w:val="000000" w:themeColor="text1"/>
        </w:rPr>
        <w:t xml:space="preserve">the digitalization of the land administration system </w:t>
      </w:r>
      <w:r w:rsidR="00103440">
        <w:rPr>
          <w:color w:val="000000" w:themeColor="text1"/>
        </w:rPr>
        <w:t xml:space="preserve">as a policy path for </w:t>
      </w:r>
      <w:r w:rsidR="00CE2095">
        <w:rPr>
          <w:color w:val="000000" w:themeColor="text1"/>
        </w:rPr>
        <w:t>enhanc</w:t>
      </w:r>
      <w:r w:rsidR="00103440">
        <w:rPr>
          <w:color w:val="000000" w:themeColor="text1"/>
        </w:rPr>
        <w:t xml:space="preserve">ing </w:t>
      </w:r>
      <w:r w:rsidR="00CE2095">
        <w:rPr>
          <w:color w:val="000000" w:themeColor="text1"/>
        </w:rPr>
        <w:t>the security of property rights</w:t>
      </w:r>
      <w:r w:rsidR="00103440">
        <w:rPr>
          <w:color w:val="000000" w:themeColor="text1"/>
        </w:rPr>
        <w:t xml:space="preserve"> through a form of participatory geographic information system (GIS) technology.</w:t>
      </w:r>
    </w:p>
    <w:p w14:paraId="74B641BE" w14:textId="0F05103C" w:rsidR="00CE2095" w:rsidRDefault="00CE2095" w:rsidP="00CE2095">
      <w:pPr>
        <w:spacing w:line="360" w:lineRule="auto"/>
      </w:pPr>
    </w:p>
    <w:p w14:paraId="65B6D835" w14:textId="77777777" w:rsidR="00103440" w:rsidRDefault="00103440" w:rsidP="00675D94">
      <w:pPr>
        <w:pStyle w:val="FootnoteText"/>
        <w:rPr>
          <w:sz w:val="24"/>
          <w:szCs w:val="24"/>
        </w:rPr>
      </w:pPr>
    </w:p>
    <w:p w14:paraId="16F5BC96" w14:textId="2EB80C26" w:rsidR="0018713B" w:rsidRPr="00324B94" w:rsidRDefault="0018713B" w:rsidP="00675D94">
      <w:pPr>
        <w:pStyle w:val="FootnoteText"/>
        <w:rPr>
          <w:rFonts w:ascii="Rockwell" w:hAnsi="Rockwell"/>
          <w:color w:val="4472C4" w:themeColor="accent1"/>
          <w:sz w:val="28"/>
          <w:szCs w:val="28"/>
        </w:rPr>
      </w:pPr>
      <w:r w:rsidRPr="00324B94">
        <w:rPr>
          <w:rFonts w:ascii="Rockwell" w:hAnsi="Rockwell"/>
          <w:color w:val="4472C4" w:themeColor="accent1"/>
          <w:sz w:val="28"/>
          <w:szCs w:val="28"/>
        </w:rPr>
        <w:lastRenderedPageBreak/>
        <w:t>Bibliography</w:t>
      </w:r>
    </w:p>
    <w:p w14:paraId="6C50838E" w14:textId="77777777" w:rsidR="0018713B" w:rsidRPr="00467997" w:rsidRDefault="0018713B" w:rsidP="00675D94">
      <w:pPr>
        <w:pStyle w:val="FootnoteText"/>
        <w:rPr>
          <w:rFonts w:ascii="Rockwell" w:hAnsi="Rockwell"/>
          <w:color w:val="4472C4" w:themeColor="accent1"/>
          <w:sz w:val="24"/>
          <w:szCs w:val="24"/>
        </w:rPr>
      </w:pPr>
    </w:p>
    <w:p w14:paraId="67D3E036" w14:textId="77777777" w:rsidR="0018713B" w:rsidRDefault="0018713B" w:rsidP="00675D94">
      <w:pPr>
        <w:pStyle w:val="FootnoteText"/>
        <w:rPr>
          <w:sz w:val="24"/>
          <w:szCs w:val="24"/>
        </w:rPr>
      </w:pPr>
      <w:r w:rsidRPr="00B621D3">
        <w:rPr>
          <w:sz w:val="24"/>
          <w:szCs w:val="24"/>
        </w:rPr>
        <w:t>Acharya Vijeth, Ramaprasad</w:t>
      </w:r>
      <w:r w:rsidR="00D37CC3">
        <w:rPr>
          <w:sz w:val="24"/>
          <w:szCs w:val="24"/>
        </w:rPr>
        <w:t>,</w:t>
      </w:r>
      <w:r w:rsidRPr="00B621D3">
        <w:rPr>
          <w:sz w:val="24"/>
          <w:szCs w:val="24"/>
        </w:rPr>
        <w:t xml:space="preserve"> Arkalgud, Vasudevan</w:t>
      </w:r>
      <w:r w:rsidR="00D37CC3">
        <w:rPr>
          <w:sz w:val="24"/>
          <w:szCs w:val="24"/>
        </w:rPr>
        <w:t>,</w:t>
      </w:r>
      <w:r w:rsidRPr="00B621D3">
        <w:rPr>
          <w:sz w:val="24"/>
          <w:szCs w:val="24"/>
        </w:rPr>
        <w:t xml:space="preserve"> Shraddha</w:t>
      </w:r>
      <w:r>
        <w:rPr>
          <w:sz w:val="24"/>
          <w:szCs w:val="24"/>
        </w:rPr>
        <w:t xml:space="preserve">. </w:t>
      </w:r>
      <w:r w:rsidRPr="00B621D3">
        <w:rPr>
          <w:sz w:val="24"/>
          <w:szCs w:val="24"/>
        </w:rPr>
        <w:t>2018</w:t>
      </w:r>
      <w:r>
        <w:rPr>
          <w:sz w:val="24"/>
          <w:szCs w:val="24"/>
        </w:rPr>
        <w:t>.</w:t>
      </w:r>
      <w:r w:rsidRPr="00B621D3">
        <w:rPr>
          <w:sz w:val="24"/>
          <w:szCs w:val="24"/>
        </w:rPr>
        <w:t xml:space="preserve"> “eLand Governance in India: Transcending Digitization</w:t>
      </w:r>
      <w:r>
        <w:rPr>
          <w:sz w:val="24"/>
          <w:szCs w:val="24"/>
        </w:rPr>
        <w:t>.</w:t>
      </w:r>
      <w:r w:rsidRPr="00B621D3">
        <w:rPr>
          <w:sz w:val="24"/>
          <w:szCs w:val="24"/>
        </w:rPr>
        <w:t xml:space="preserve">” In: Parycek P. et al. (eds) </w:t>
      </w:r>
      <w:r w:rsidRPr="00B621D3">
        <w:rPr>
          <w:i/>
          <w:sz w:val="24"/>
          <w:szCs w:val="24"/>
        </w:rPr>
        <w:t>Electronic Government</w:t>
      </w:r>
      <w:r w:rsidRPr="00B621D3">
        <w:rPr>
          <w:sz w:val="24"/>
          <w:szCs w:val="24"/>
        </w:rPr>
        <w:t xml:space="preserve">, EGOV 2018, Lecture Notes in Computer Science, Vol. 11020. Springer, Cham. Available at </w:t>
      </w:r>
      <w:hyperlink r:id="rId13" w:history="1">
        <w:r w:rsidRPr="00B621D3">
          <w:rPr>
            <w:rStyle w:val="Hyperlink"/>
            <w:sz w:val="24"/>
            <w:szCs w:val="24"/>
          </w:rPr>
          <w:t>https://doi.org/10.1007/978-3-319-98690-6_7</w:t>
        </w:r>
      </w:hyperlink>
      <w:r w:rsidRPr="00B621D3">
        <w:rPr>
          <w:sz w:val="24"/>
          <w:szCs w:val="24"/>
        </w:rPr>
        <w:t>.</w:t>
      </w:r>
    </w:p>
    <w:p w14:paraId="464D5ABF" w14:textId="77777777" w:rsidR="0018713B" w:rsidRDefault="0018713B" w:rsidP="00675D94">
      <w:pPr>
        <w:pStyle w:val="FootnoteText"/>
        <w:rPr>
          <w:sz w:val="24"/>
          <w:szCs w:val="24"/>
        </w:rPr>
      </w:pPr>
    </w:p>
    <w:p w14:paraId="209F3724" w14:textId="77777777" w:rsidR="0018713B" w:rsidRPr="00B621D3" w:rsidRDefault="0018713B" w:rsidP="00675D94">
      <w:pPr>
        <w:pStyle w:val="FootnoteText"/>
        <w:rPr>
          <w:sz w:val="24"/>
          <w:szCs w:val="24"/>
        </w:rPr>
      </w:pPr>
      <w:r w:rsidRPr="00B621D3">
        <w:rPr>
          <w:sz w:val="24"/>
          <w:szCs w:val="24"/>
        </w:rPr>
        <w:t xml:space="preserve">Besley, Timothy, and Ghatak, Maitreesh, 2009, “The De Soto Effect,” The London School of Economics, Research Paper No. EOPP008, Available at </w:t>
      </w:r>
      <w:hyperlink r:id="rId14" w:history="1">
        <w:r w:rsidRPr="00B621D3">
          <w:rPr>
            <w:rStyle w:val="Hyperlink"/>
            <w:sz w:val="24"/>
            <w:szCs w:val="24"/>
          </w:rPr>
          <w:t>http://sticerd.lse.ac.uk/dps/eopp/eopp08.pdf</w:t>
        </w:r>
      </w:hyperlink>
      <w:r w:rsidRPr="00B621D3">
        <w:rPr>
          <w:sz w:val="24"/>
          <w:szCs w:val="24"/>
        </w:rPr>
        <w:t>.</w:t>
      </w:r>
    </w:p>
    <w:p w14:paraId="17132D2F" w14:textId="77777777" w:rsidR="0018713B" w:rsidRPr="00B621D3" w:rsidRDefault="0018713B" w:rsidP="00675D94"/>
    <w:p w14:paraId="55B91407" w14:textId="77777777" w:rsidR="0018713B" w:rsidRPr="00B621D3" w:rsidRDefault="0018713B" w:rsidP="00675D94">
      <w:pPr>
        <w:rPr>
          <w:rStyle w:val="Hyperlink"/>
          <w:color w:val="000000" w:themeColor="text1"/>
        </w:rPr>
      </w:pPr>
      <w:r w:rsidRPr="00B621D3">
        <w:rPr>
          <w:rStyle w:val="Hyperlink"/>
          <w:color w:val="000000" w:themeColor="text1"/>
        </w:rPr>
        <w:t xml:space="preserve">Bourbeau, Heather. 2009. “Property Wrongs: How Weak Ideas Gain Strong Appeal in the World of Development Economics.” </w:t>
      </w:r>
      <w:r w:rsidRPr="00B621D3">
        <w:rPr>
          <w:rStyle w:val="Hyperlink"/>
          <w:i/>
          <w:color w:val="000000" w:themeColor="text1"/>
        </w:rPr>
        <w:t>Foreign Policy Magazine</w:t>
      </w:r>
      <w:r w:rsidRPr="00B621D3">
        <w:rPr>
          <w:rStyle w:val="Hyperlink"/>
          <w:color w:val="000000" w:themeColor="text1"/>
        </w:rPr>
        <w:t xml:space="preserve">. Available at </w:t>
      </w:r>
      <w:hyperlink r:id="rId15" w:history="1">
        <w:r w:rsidRPr="00B621D3">
          <w:rPr>
            <w:rStyle w:val="Hyperlink"/>
          </w:rPr>
          <w:t>https://foreignpolicy.com/2009/11/17/property-wrongs/</w:t>
        </w:r>
      </w:hyperlink>
      <w:r w:rsidRPr="00B621D3">
        <w:rPr>
          <w:rStyle w:val="Hyperlink"/>
          <w:color w:val="000000" w:themeColor="text1"/>
        </w:rPr>
        <w:t xml:space="preserve">. </w:t>
      </w:r>
    </w:p>
    <w:p w14:paraId="384233F9" w14:textId="77777777" w:rsidR="0018713B" w:rsidRPr="00B621D3" w:rsidRDefault="0018713B" w:rsidP="00675D94">
      <w:pPr>
        <w:pStyle w:val="FootnoteText"/>
        <w:rPr>
          <w:sz w:val="24"/>
          <w:szCs w:val="24"/>
        </w:rPr>
      </w:pPr>
    </w:p>
    <w:p w14:paraId="5ED0B2B8" w14:textId="77777777" w:rsidR="0018713B" w:rsidRPr="00B621D3" w:rsidRDefault="0018713B" w:rsidP="00675D94">
      <w:pPr>
        <w:pStyle w:val="FootnoteText"/>
        <w:rPr>
          <w:sz w:val="24"/>
          <w:szCs w:val="24"/>
        </w:rPr>
      </w:pPr>
      <w:r w:rsidRPr="00B621D3">
        <w:rPr>
          <w:sz w:val="24"/>
          <w:szCs w:val="24"/>
        </w:rPr>
        <w:t xml:space="preserve">Branford, Sue. 2020. “‘Digital land grab’ deprives traditional LatAm peoples of ancestral lands: Report.” Mongabay, Conservation News, Available at </w:t>
      </w:r>
      <w:hyperlink r:id="rId16" w:history="1">
        <w:r w:rsidRPr="00B621D3">
          <w:rPr>
            <w:rStyle w:val="Hyperlink"/>
            <w:sz w:val="24"/>
            <w:szCs w:val="24"/>
          </w:rPr>
          <w:t>https://news.mongabay.com/2020/10/digital-land-grab-deprives-traditional-latam-peoples-of-ancestral-lands-report/</w:t>
        </w:r>
      </w:hyperlink>
      <w:r w:rsidRPr="00B621D3">
        <w:rPr>
          <w:sz w:val="24"/>
          <w:szCs w:val="24"/>
        </w:rPr>
        <w:t xml:space="preserve">. </w:t>
      </w:r>
    </w:p>
    <w:p w14:paraId="07651FD4" w14:textId="77777777" w:rsidR="0018713B" w:rsidRPr="00B621D3" w:rsidRDefault="0018713B" w:rsidP="00675D94">
      <w:pPr>
        <w:pStyle w:val="FootnoteText"/>
        <w:rPr>
          <w:sz w:val="24"/>
          <w:szCs w:val="24"/>
        </w:rPr>
      </w:pPr>
    </w:p>
    <w:p w14:paraId="4D82B978" w14:textId="77777777" w:rsidR="0018713B" w:rsidRDefault="0018713B" w:rsidP="00675D94">
      <w:pPr>
        <w:pStyle w:val="FootnoteText"/>
        <w:rPr>
          <w:sz w:val="24"/>
          <w:szCs w:val="24"/>
        </w:rPr>
      </w:pPr>
      <w:r w:rsidRPr="00B621D3">
        <w:rPr>
          <w:sz w:val="24"/>
          <w:szCs w:val="24"/>
        </w:rPr>
        <w:t xml:space="preserve">Daley, Elizabeth and Hobley, Mary. 2005. </w:t>
      </w:r>
      <w:r w:rsidRPr="00B621D3">
        <w:rPr>
          <w:i/>
          <w:sz w:val="24"/>
          <w:szCs w:val="24"/>
        </w:rPr>
        <w:t xml:space="preserve">Land: Changing Contexts, Changing Relationships, Changing Rights. </w:t>
      </w:r>
      <w:r w:rsidRPr="00B621D3">
        <w:rPr>
          <w:sz w:val="24"/>
          <w:szCs w:val="24"/>
        </w:rPr>
        <w:t xml:space="preserve">DFID. Available at </w:t>
      </w:r>
      <w:hyperlink r:id="rId17" w:history="1">
        <w:r w:rsidRPr="00B621D3">
          <w:rPr>
            <w:rStyle w:val="Hyperlink"/>
            <w:sz w:val="24"/>
            <w:szCs w:val="24"/>
          </w:rPr>
          <w:t>https://sarpn.org/documents/d0001801/Land_changing_Sept2005.pdf</w:t>
        </w:r>
      </w:hyperlink>
      <w:r w:rsidRPr="00B621D3">
        <w:rPr>
          <w:sz w:val="24"/>
          <w:szCs w:val="24"/>
        </w:rPr>
        <w:t>.</w:t>
      </w:r>
    </w:p>
    <w:p w14:paraId="2B1205F0" w14:textId="77777777" w:rsidR="00F27C5D" w:rsidRPr="00B621D3" w:rsidRDefault="00F27C5D" w:rsidP="00675D94">
      <w:pPr>
        <w:pStyle w:val="FootnoteText"/>
        <w:rPr>
          <w:sz w:val="24"/>
          <w:szCs w:val="24"/>
        </w:rPr>
      </w:pPr>
    </w:p>
    <w:p w14:paraId="6D7A9DC1" w14:textId="77777777" w:rsidR="0018713B" w:rsidRDefault="00F27C5D" w:rsidP="00675D94">
      <w:pPr>
        <w:pStyle w:val="FootnoteText"/>
        <w:rPr>
          <w:sz w:val="24"/>
          <w:szCs w:val="24"/>
        </w:rPr>
      </w:pPr>
      <w:r w:rsidRPr="00F27C5D">
        <w:rPr>
          <w:sz w:val="24"/>
          <w:szCs w:val="24"/>
        </w:rPr>
        <w:t xml:space="preserve">Djankov, Simeon, McLiesh, Caralee and Shleifer, Andrei, 2007, “Private Credit in 129 Countries,” Journal of Financial Economics, Vol. 84, No. 2, 299- 329. Available at </w:t>
      </w:r>
      <w:hyperlink r:id="rId18" w:history="1">
        <w:r w:rsidRPr="0017552F">
          <w:rPr>
            <w:rStyle w:val="Hyperlink"/>
            <w:sz w:val="24"/>
            <w:szCs w:val="24"/>
          </w:rPr>
          <w:t>https://www-sciencedirect-com.ezaccess.libraries.psu.edu/science/article/pii/S0304405X06002170?via%3Dihub</w:t>
        </w:r>
      </w:hyperlink>
      <w:r w:rsidRPr="00F27C5D">
        <w:rPr>
          <w:sz w:val="24"/>
          <w:szCs w:val="24"/>
        </w:rPr>
        <w:t>.</w:t>
      </w:r>
    </w:p>
    <w:p w14:paraId="1402DF97" w14:textId="77777777" w:rsidR="00F27C5D" w:rsidRPr="00B621D3" w:rsidRDefault="00F27C5D" w:rsidP="00675D94">
      <w:pPr>
        <w:pStyle w:val="FootnoteText"/>
        <w:rPr>
          <w:sz w:val="24"/>
          <w:szCs w:val="24"/>
        </w:rPr>
      </w:pPr>
    </w:p>
    <w:p w14:paraId="4D485BAD" w14:textId="77777777" w:rsidR="0018713B" w:rsidRPr="00B621D3" w:rsidRDefault="0018713B" w:rsidP="00675D94">
      <w:pPr>
        <w:pStyle w:val="FootnoteText"/>
        <w:rPr>
          <w:sz w:val="24"/>
          <w:szCs w:val="24"/>
        </w:rPr>
      </w:pPr>
      <w:r w:rsidRPr="00B621D3">
        <w:rPr>
          <w:sz w:val="24"/>
          <w:szCs w:val="24"/>
        </w:rPr>
        <w:t>“</w:t>
      </w:r>
      <w:r w:rsidRPr="00B621D3">
        <w:rPr>
          <w:i/>
          <w:sz w:val="24"/>
          <w:szCs w:val="24"/>
        </w:rPr>
        <w:t xml:space="preserve">Doing Business </w:t>
      </w:r>
      <w:r w:rsidRPr="00B621D3">
        <w:rPr>
          <w:sz w:val="24"/>
          <w:szCs w:val="24"/>
        </w:rPr>
        <w:t xml:space="preserve">Data,” data from World Bank. Available at </w:t>
      </w:r>
      <w:hyperlink r:id="rId19" w:history="1">
        <w:r w:rsidRPr="00B621D3">
          <w:rPr>
            <w:rStyle w:val="Hyperlink"/>
            <w:sz w:val="24"/>
            <w:szCs w:val="24"/>
          </w:rPr>
          <w:t>https://www.doingbusiness.org/en/data</w:t>
        </w:r>
      </w:hyperlink>
      <w:r w:rsidRPr="00B621D3">
        <w:rPr>
          <w:sz w:val="24"/>
          <w:szCs w:val="24"/>
        </w:rPr>
        <w:t>.</w:t>
      </w:r>
    </w:p>
    <w:p w14:paraId="6BF1E20C" w14:textId="77777777" w:rsidR="0018713B" w:rsidRPr="00B621D3" w:rsidRDefault="0018713B" w:rsidP="00675D94">
      <w:pPr>
        <w:rPr>
          <w:color w:val="000000" w:themeColor="text1"/>
          <w:shd w:val="clear" w:color="auto" w:fill="FFFFFF"/>
        </w:rPr>
      </w:pPr>
    </w:p>
    <w:p w14:paraId="3979DD45" w14:textId="77777777" w:rsidR="0018713B" w:rsidRDefault="002F5921" w:rsidP="00675D94">
      <w:pPr>
        <w:rPr>
          <w:rStyle w:val="Hyperlink"/>
        </w:rPr>
      </w:pPr>
      <w:r>
        <w:t>Esri</w:t>
      </w:r>
      <w:r w:rsidR="0018713B" w:rsidRPr="00B621D3">
        <w:t xml:space="preserve">. “GIS in South America.” 2013. Redlands, CA: </w:t>
      </w:r>
      <w:r>
        <w:t>Esri</w:t>
      </w:r>
      <w:r w:rsidR="0018713B" w:rsidRPr="00B621D3">
        <w:rPr>
          <w:i/>
        </w:rPr>
        <w:t xml:space="preserve">. </w:t>
      </w:r>
      <w:r w:rsidR="0018713B" w:rsidRPr="00B621D3">
        <w:t xml:space="preserve">Available at </w:t>
      </w:r>
      <w:hyperlink r:id="rId20" w:history="1">
        <w:r w:rsidR="0018713B" w:rsidRPr="00B621D3">
          <w:rPr>
            <w:rStyle w:val="Hyperlink"/>
          </w:rPr>
          <w:t>https://www.esri.com/~/media/Files/Pdfs/library/ebooks/gis-in-south-america.pdf</w:t>
        </w:r>
      </w:hyperlink>
    </w:p>
    <w:p w14:paraId="132A8419" w14:textId="77777777" w:rsidR="00DF2B13" w:rsidRDefault="00DF2B13" w:rsidP="00675D94"/>
    <w:p w14:paraId="611A795D" w14:textId="77777777" w:rsidR="00DF2B13" w:rsidRPr="002F5921" w:rsidRDefault="00DF2B13" w:rsidP="00675D94">
      <w:pPr>
        <w:rPr>
          <w:rStyle w:val="Hyperlink"/>
          <w:color w:val="auto"/>
          <w:u w:val="none"/>
        </w:rPr>
      </w:pPr>
      <w:r>
        <w:t xml:space="preserve">FAO. “Tools for Designing, Monitoring and Evaluating Land Administration Programmes in Latin America.” Food and Agriculture Organization of the United Nations. Available at </w:t>
      </w:r>
      <w:hyperlink r:id="rId21" w:history="1">
        <w:r w:rsidRPr="0017552F">
          <w:rPr>
            <w:rStyle w:val="Hyperlink"/>
          </w:rPr>
          <w:t>http://www.fao.org/in-action/herramienta-administracion-tierras/introduction/concept-land-administration/en/</w:t>
        </w:r>
      </w:hyperlink>
      <w:r>
        <w:t xml:space="preserve">. </w:t>
      </w:r>
    </w:p>
    <w:p w14:paraId="4FAECD29" w14:textId="4DED46AA" w:rsidR="0018713B" w:rsidRDefault="0018713B" w:rsidP="00675D94">
      <w:pPr>
        <w:pStyle w:val="NormalWeb"/>
        <w:rPr>
          <w:color w:val="000000" w:themeColor="text1"/>
        </w:rPr>
      </w:pPr>
      <w:r>
        <w:rPr>
          <w:color w:val="000000" w:themeColor="text1"/>
        </w:rPr>
        <w:t>Fernandes, Edesio. 2002. “</w:t>
      </w:r>
      <w:r w:rsidRPr="00572805">
        <w:rPr>
          <w:color w:val="000000" w:themeColor="text1"/>
        </w:rPr>
        <w:t>The Influence of de Soto’s “The Mystery of Capital”</w:t>
      </w:r>
      <w:r>
        <w:rPr>
          <w:color w:val="000000" w:themeColor="text1"/>
        </w:rPr>
        <w:t xml:space="preserve">.” </w:t>
      </w:r>
      <w:r>
        <w:rPr>
          <w:i/>
          <w:color w:val="000000" w:themeColor="text1"/>
        </w:rPr>
        <w:t xml:space="preserve">Land Lines, </w:t>
      </w:r>
      <w:r>
        <w:rPr>
          <w:color w:val="000000" w:themeColor="text1"/>
        </w:rPr>
        <w:t xml:space="preserve">Jan 2002. Available at </w:t>
      </w:r>
      <w:hyperlink r:id="rId22" w:history="1">
        <w:r w:rsidRPr="0017552F">
          <w:rPr>
            <w:rStyle w:val="Hyperlink"/>
          </w:rPr>
          <w:t>https://www.lincolninst.edu/publications/articles/influence-sotos-mystery-capital</w:t>
        </w:r>
      </w:hyperlink>
      <w:r>
        <w:rPr>
          <w:color w:val="000000" w:themeColor="text1"/>
        </w:rPr>
        <w:t xml:space="preserve">. </w:t>
      </w:r>
    </w:p>
    <w:p w14:paraId="22BCC5A5" w14:textId="5F833968" w:rsidR="000B0420" w:rsidRDefault="000B0420" w:rsidP="000B0420">
      <w:r>
        <w:rPr>
          <w:bCs/>
          <w:color w:val="000000" w:themeColor="text1"/>
        </w:rPr>
        <w:t>Field, Erica, and Torero, Maximo. 2006. “</w:t>
      </w:r>
      <w:r>
        <w:t xml:space="preserve">Do Property Titles Increase Credit Access Among the Urban Poor? Evidence from a Nationwide Titling Program.” </w:t>
      </w:r>
      <w:r w:rsidRPr="000B0420">
        <w:t xml:space="preserve">Research Program in Development </w:t>
      </w:r>
      <w:r w:rsidRPr="000B0420">
        <w:lastRenderedPageBreak/>
        <w:t xml:space="preserve">Studies Working Paper No. 223, Princeton University. </w:t>
      </w:r>
      <w:r>
        <w:t xml:space="preserve">Available at </w:t>
      </w:r>
      <w:hyperlink r:id="rId23" w:history="1">
        <w:r w:rsidRPr="0017552F">
          <w:rPr>
            <w:rStyle w:val="Hyperlink"/>
          </w:rPr>
          <w:t>https://scholar.harvard.edu/files/field/files/fieldtorerocs.pdf</w:t>
        </w:r>
      </w:hyperlink>
      <w:r>
        <w:t xml:space="preserve">. </w:t>
      </w:r>
    </w:p>
    <w:p w14:paraId="3753EBC8" w14:textId="77777777" w:rsidR="000B0420" w:rsidRPr="000B0420" w:rsidRDefault="000B0420" w:rsidP="000B0420"/>
    <w:p w14:paraId="000178B6" w14:textId="77777777" w:rsidR="0018713B" w:rsidRPr="00E372F5" w:rsidRDefault="0018713B" w:rsidP="00675D94">
      <w:pPr>
        <w:rPr>
          <w:color w:val="000000" w:themeColor="text1"/>
        </w:rPr>
      </w:pPr>
      <w:r w:rsidRPr="00B621D3">
        <w:rPr>
          <w:color w:val="000000" w:themeColor="text1"/>
          <w:shd w:val="clear" w:color="auto" w:fill="FFFFFF"/>
        </w:rPr>
        <w:t>Goldfinch, Shaun</w:t>
      </w:r>
      <w:r>
        <w:rPr>
          <w:color w:val="000000" w:themeColor="text1"/>
          <w:shd w:val="clear" w:color="auto" w:fill="FFFFFF"/>
        </w:rPr>
        <w:t>.</w:t>
      </w:r>
      <w:r w:rsidRPr="00B621D3">
        <w:rPr>
          <w:color w:val="000000" w:themeColor="text1"/>
          <w:shd w:val="clear" w:color="auto" w:fill="FFFFFF"/>
        </w:rPr>
        <w:t xml:space="preserve"> 2015</w:t>
      </w:r>
      <w:r>
        <w:rPr>
          <w:color w:val="000000" w:themeColor="text1"/>
          <w:shd w:val="clear" w:color="auto" w:fill="FFFFFF"/>
        </w:rPr>
        <w:t>.</w:t>
      </w:r>
      <w:r w:rsidRPr="00B621D3">
        <w:rPr>
          <w:color w:val="000000" w:themeColor="text1"/>
          <w:shd w:val="clear" w:color="auto" w:fill="FFFFFF"/>
        </w:rPr>
        <w:t xml:space="preserve"> “Property Rights and the Mystery of Capital: A Review of de Soto’s Simplistic Solution to Development</w:t>
      </w:r>
      <w:r>
        <w:rPr>
          <w:color w:val="000000" w:themeColor="text1"/>
          <w:shd w:val="clear" w:color="auto" w:fill="FFFFFF"/>
        </w:rPr>
        <w:t>.</w:t>
      </w:r>
      <w:r w:rsidRPr="00B621D3">
        <w:rPr>
          <w:color w:val="000000" w:themeColor="text1"/>
          <w:shd w:val="clear" w:color="auto" w:fill="FFFFFF"/>
        </w:rPr>
        <w:t>” </w:t>
      </w:r>
      <w:r w:rsidRPr="00B621D3">
        <w:rPr>
          <w:i/>
          <w:iCs/>
          <w:color w:val="000000" w:themeColor="text1"/>
          <w:shd w:val="clear" w:color="auto" w:fill="FFFFFF"/>
        </w:rPr>
        <w:t>Progress in Development Studies</w:t>
      </w:r>
      <w:r w:rsidRPr="00B621D3">
        <w:rPr>
          <w:color w:val="000000" w:themeColor="text1"/>
          <w:shd w:val="clear" w:color="auto" w:fill="FFFFFF"/>
        </w:rPr>
        <w:t> 15, 1: 87–96. Available at</w:t>
      </w:r>
      <w:r>
        <w:rPr>
          <w:color w:val="000000" w:themeColor="text1"/>
          <w:shd w:val="clear" w:color="auto" w:fill="FFFFFF"/>
        </w:rPr>
        <w:t xml:space="preserve"> </w:t>
      </w:r>
      <w:hyperlink r:id="rId24" w:history="1">
        <w:r w:rsidRPr="0017552F">
          <w:rPr>
            <w:rStyle w:val="Hyperlink"/>
            <w:shd w:val="clear" w:color="auto" w:fill="FFFFFF"/>
          </w:rPr>
          <w:t>https://www.researchgate.net/publication/273093918_Property_rights_and_the_mystery_of_capital_A_review_of_de_Soto%27s_simplistic_solution_to_development</w:t>
        </w:r>
      </w:hyperlink>
      <w:r w:rsidRPr="00B621D3">
        <w:rPr>
          <w:color w:val="000000" w:themeColor="text1"/>
          <w:shd w:val="clear" w:color="auto" w:fill="FFFFFF"/>
        </w:rPr>
        <w:t xml:space="preserve">. </w:t>
      </w:r>
    </w:p>
    <w:p w14:paraId="53809749" w14:textId="77777777" w:rsidR="0018713B" w:rsidRPr="00E372F5" w:rsidRDefault="0018713B" w:rsidP="00675D94">
      <w:pPr>
        <w:pStyle w:val="NormalWeb"/>
        <w:rPr>
          <w:color w:val="000000" w:themeColor="text1"/>
        </w:rPr>
      </w:pPr>
      <w:r>
        <w:rPr>
          <w:color w:val="000000" w:themeColor="text1"/>
        </w:rPr>
        <w:t>Gómez, Paz. 2018. “</w:t>
      </w:r>
      <w:r w:rsidRPr="001A7CB2">
        <w:rPr>
          <w:color w:val="000000" w:themeColor="text1"/>
        </w:rPr>
        <w:t>Latin-American Nations Fall Behind for Property Rights</w:t>
      </w:r>
      <w:r>
        <w:rPr>
          <w:color w:val="000000" w:themeColor="text1"/>
        </w:rPr>
        <w:t xml:space="preserve">.” Econ Americas. Available at </w:t>
      </w:r>
      <w:hyperlink r:id="rId25" w:history="1">
        <w:r w:rsidRPr="0017552F">
          <w:rPr>
            <w:rStyle w:val="Hyperlink"/>
          </w:rPr>
          <w:t>https://econamericas.com/2018/08/latin-america-property-rights-fall-behind/</w:t>
        </w:r>
      </w:hyperlink>
      <w:r>
        <w:rPr>
          <w:color w:val="000000" w:themeColor="text1"/>
        </w:rPr>
        <w:t xml:space="preserve">. </w:t>
      </w:r>
    </w:p>
    <w:p w14:paraId="0738BC11" w14:textId="77777777" w:rsidR="0018713B" w:rsidRPr="00B621D3" w:rsidRDefault="0018713B" w:rsidP="00675D94">
      <w:pPr>
        <w:pStyle w:val="FootnoteText"/>
        <w:rPr>
          <w:sz w:val="24"/>
          <w:szCs w:val="24"/>
        </w:rPr>
      </w:pPr>
      <w:r w:rsidRPr="00B621D3">
        <w:rPr>
          <w:sz w:val="24"/>
          <w:szCs w:val="24"/>
        </w:rPr>
        <w:t>Heritage Foundation, 2021, “The 12 Economic Freedoms: Policies for Lasting Progress</w:t>
      </w:r>
    </w:p>
    <w:p w14:paraId="269392C6" w14:textId="77777777" w:rsidR="0018713B" w:rsidRPr="00B621D3" w:rsidRDefault="0018713B" w:rsidP="00675D94">
      <w:r w:rsidRPr="00B621D3">
        <w:t xml:space="preserve">and Prosperity,” 2021 Index of Economic Freedom, Heritage Foundation, Available at </w:t>
      </w:r>
      <w:hyperlink r:id="rId26" w:history="1">
        <w:r w:rsidRPr="00B621D3">
          <w:rPr>
            <w:rStyle w:val="Hyperlink"/>
          </w:rPr>
          <w:t>https://www.heritage.org/index/pdf/2021/book/2021_IndexofEconomicFreedom_CHAPTER02.pdf</w:t>
        </w:r>
      </w:hyperlink>
      <w:r w:rsidRPr="00B621D3">
        <w:t>.</w:t>
      </w:r>
    </w:p>
    <w:p w14:paraId="06726B0F" w14:textId="77777777" w:rsidR="0018713B" w:rsidRPr="00B621D3" w:rsidRDefault="0018713B" w:rsidP="00675D94">
      <w:pPr>
        <w:rPr>
          <w:iCs/>
          <w:color w:val="000000" w:themeColor="text1"/>
        </w:rPr>
      </w:pPr>
    </w:p>
    <w:p w14:paraId="6E81C99B" w14:textId="77777777" w:rsidR="0018713B" w:rsidRPr="00B621D3" w:rsidRDefault="0018713B" w:rsidP="00675D94">
      <w:pPr>
        <w:rPr>
          <w:iCs/>
          <w:color w:val="000000" w:themeColor="text1"/>
        </w:rPr>
      </w:pPr>
      <w:r w:rsidRPr="00B621D3">
        <w:rPr>
          <w:iCs/>
          <w:color w:val="000000" w:themeColor="text1"/>
        </w:rPr>
        <w:t>Hilhorst, Thea, and Meunier, Frederic. 2015</w:t>
      </w:r>
      <w:r w:rsidRPr="00B621D3">
        <w:rPr>
          <w:i/>
          <w:iCs/>
          <w:color w:val="000000" w:themeColor="text1"/>
        </w:rPr>
        <w:t xml:space="preserve">. How Innovations in Land Administration Reform Improve on Doing Business : Cases from Lithuania, the Republic of Korea, Rwanda and the United Kingdom. </w:t>
      </w:r>
      <w:r w:rsidRPr="00B621D3">
        <w:rPr>
          <w:iCs/>
          <w:color w:val="000000" w:themeColor="text1"/>
        </w:rPr>
        <w:t>Washington, DC: World Bank</w:t>
      </w:r>
      <w:r w:rsidRPr="00B621D3">
        <w:rPr>
          <w:i/>
          <w:iCs/>
          <w:color w:val="000000" w:themeColor="text1"/>
        </w:rPr>
        <w:t xml:space="preserve">. </w:t>
      </w:r>
      <w:r w:rsidRPr="00B621D3">
        <w:rPr>
          <w:iCs/>
          <w:color w:val="000000" w:themeColor="text1"/>
        </w:rPr>
        <w:t xml:space="preserve">Available at </w:t>
      </w:r>
      <w:hyperlink r:id="rId27" w:history="1">
        <w:r w:rsidRPr="00B621D3">
          <w:rPr>
            <w:rStyle w:val="Hyperlink"/>
            <w:iCs/>
          </w:rPr>
          <w:t>https://documents.worldbank.org/en/publication/documents-reports/documentdetail/450041467995100809/how-innovations-in-land-administration-reform-improve-on-doing-business-cases-from-lithuania-the-republic-of-korea-rwanda-and-the-united-kingdom</w:t>
        </w:r>
      </w:hyperlink>
      <w:r w:rsidRPr="00B621D3">
        <w:rPr>
          <w:iCs/>
          <w:color w:val="000000" w:themeColor="text1"/>
        </w:rPr>
        <w:t xml:space="preserve">. </w:t>
      </w:r>
    </w:p>
    <w:p w14:paraId="04203121" w14:textId="77777777" w:rsidR="0018713B" w:rsidRPr="00B621D3" w:rsidRDefault="0018713B" w:rsidP="00675D94">
      <w:pPr>
        <w:rPr>
          <w:iCs/>
          <w:color w:val="000000" w:themeColor="text1"/>
        </w:rPr>
      </w:pPr>
    </w:p>
    <w:p w14:paraId="62096F2A" w14:textId="77777777" w:rsidR="0018713B" w:rsidRPr="00B621D3" w:rsidRDefault="0018713B" w:rsidP="00675D94">
      <w:pPr>
        <w:pStyle w:val="FootnoteText"/>
        <w:rPr>
          <w:sz w:val="24"/>
          <w:szCs w:val="24"/>
        </w:rPr>
      </w:pPr>
      <w:r w:rsidRPr="00B621D3">
        <w:rPr>
          <w:sz w:val="24"/>
          <w:szCs w:val="24"/>
        </w:rPr>
        <w:t>Keefer, Phillip, Knack, Stephen, 2002, “Polarization, Politics and Property Rights: Links Between Inequality and Growth,” </w:t>
      </w:r>
      <w:r w:rsidRPr="00B621D3">
        <w:rPr>
          <w:i/>
          <w:iCs/>
          <w:sz w:val="24"/>
          <w:szCs w:val="24"/>
        </w:rPr>
        <w:t>Public Choice</w:t>
      </w:r>
      <w:r w:rsidRPr="00B621D3">
        <w:rPr>
          <w:sz w:val="24"/>
          <w:szCs w:val="24"/>
        </w:rPr>
        <w:t> </w:t>
      </w:r>
      <w:r w:rsidRPr="00B621D3">
        <w:rPr>
          <w:bCs/>
          <w:sz w:val="24"/>
          <w:szCs w:val="24"/>
        </w:rPr>
        <w:t>111</w:t>
      </w:r>
      <w:r w:rsidRPr="00B621D3">
        <w:rPr>
          <w:b/>
          <w:bCs/>
          <w:sz w:val="24"/>
          <w:szCs w:val="24"/>
        </w:rPr>
        <w:t>, </w:t>
      </w:r>
      <w:r w:rsidRPr="00B621D3">
        <w:rPr>
          <w:bCs/>
          <w:sz w:val="24"/>
          <w:szCs w:val="24"/>
        </w:rPr>
        <w:t xml:space="preserve">pp. </w:t>
      </w:r>
      <w:r w:rsidRPr="00B621D3">
        <w:rPr>
          <w:sz w:val="24"/>
          <w:szCs w:val="24"/>
        </w:rPr>
        <w:t xml:space="preserve">127–154. Available at </w:t>
      </w:r>
      <w:hyperlink r:id="rId28" w:history="1">
        <w:r w:rsidRPr="00B621D3">
          <w:rPr>
            <w:rStyle w:val="Hyperlink"/>
            <w:sz w:val="24"/>
            <w:szCs w:val="24"/>
          </w:rPr>
          <w:t>https://doi.org/10.1023/A:1015168000336</w:t>
        </w:r>
      </w:hyperlink>
      <w:r w:rsidRPr="00B621D3">
        <w:rPr>
          <w:sz w:val="24"/>
          <w:szCs w:val="24"/>
        </w:rPr>
        <w:t>.</w:t>
      </w:r>
    </w:p>
    <w:p w14:paraId="1EFA9698" w14:textId="77777777" w:rsidR="0018713B" w:rsidRPr="00B621D3" w:rsidRDefault="0018713B" w:rsidP="00675D94">
      <w:pPr>
        <w:rPr>
          <w:iCs/>
          <w:color w:val="000000" w:themeColor="text1"/>
        </w:rPr>
      </w:pPr>
    </w:p>
    <w:p w14:paraId="0E70141F" w14:textId="77777777" w:rsidR="0018713B" w:rsidRPr="00B621D3" w:rsidRDefault="0018713B" w:rsidP="00675D94">
      <w:pPr>
        <w:pStyle w:val="FootnoteText"/>
        <w:rPr>
          <w:sz w:val="24"/>
          <w:szCs w:val="24"/>
        </w:rPr>
      </w:pPr>
      <w:r w:rsidRPr="00B621D3">
        <w:rPr>
          <w:sz w:val="24"/>
          <w:szCs w:val="24"/>
        </w:rPr>
        <w:t xml:space="preserve">Latorre, Sergio. 2015. “The Making of Land Ownership: Land Titling in Rural Colombia – A Reply to Hernando De Soto.” </w:t>
      </w:r>
      <w:r w:rsidRPr="00B621D3">
        <w:rPr>
          <w:i/>
          <w:sz w:val="24"/>
          <w:szCs w:val="24"/>
        </w:rPr>
        <w:t>Third World Quarterly</w:t>
      </w:r>
      <w:r w:rsidRPr="00B621D3">
        <w:rPr>
          <w:sz w:val="24"/>
          <w:szCs w:val="24"/>
        </w:rPr>
        <w:t xml:space="preserve">, Vol. 36, No. 8, pp. 1546–1569. Available at </w:t>
      </w:r>
      <w:hyperlink r:id="rId29" w:history="1">
        <w:r w:rsidRPr="00B621D3">
          <w:rPr>
            <w:rStyle w:val="Hyperlink"/>
            <w:sz w:val="24"/>
            <w:szCs w:val="24"/>
          </w:rPr>
          <w:t>http://dx.doi.org/10.1080/01436597.2015.1046984</w:t>
        </w:r>
      </w:hyperlink>
      <w:r w:rsidRPr="00B621D3">
        <w:rPr>
          <w:sz w:val="24"/>
          <w:szCs w:val="24"/>
        </w:rPr>
        <w:t>.</w:t>
      </w:r>
    </w:p>
    <w:p w14:paraId="7CC0A700" w14:textId="77777777" w:rsidR="0018713B" w:rsidRPr="00B621D3" w:rsidRDefault="0018713B" w:rsidP="00675D94">
      <w:pPr>
        <w:rPr>
          <w:color w:val="000000" w:themeColor="text1"/>
        </w:rPr>
      </w:pPr>
    </w:p>
    <w:p w14:paraId="05D39E9E" w14:textId="77777777" w:rsidR="0018713B" w:rsidRPr="00B621D3" w:rsidRDefault="0018713B" w:rsidP="00675D94">
      <w:pPr>
        <w:rPr>
          <w:color w:val="000000" w:themeColor="text1"/>
        </w:rPr>
      </w:pPr>
      <w:r w:rsidRPr="00B621D3">
        <w:rPr>
          <w:color w:val="000000" w:themeColor="text1"/>
        </w:rPr>
        <w:t xml:space="preserve">“Population, total,” data from World Bank. Available at </w:t>
      </w:r>
      <w:hyperlink r:id="rId30" w:history="1">
        <w:r w:rsidRPr="00B621D3">
          <w:rPr>
            <w:rStyle w:val="Hyperlink"/>
          </w:rPr>
          <w:t>https://data.worldbank.org/indicator/SP.POP.TOTL</w:t>
        </w:r>
      </w:hyperlink>
      <w:r w:rsidRPr="00B621D3">
        <w:rPr>
          <w:color w:val="000000" w:themeColor="text1"/>
        </w:rPr>
        <w:t>.</w:t>
      </w:r>
    </w:p>
    <w:p w14:paraId="2278D15E" w14:textId="77777777" w:rsidR="0018713B" w:rsidRPr="00B621D3" w:rsidRDefault="0018713B" w:rsidP="00675D94">
      <w:pPr>
        <w:rPr>
          <w:color w:val="000000" w:themeColor="text1"/>
        </w:rPr>
      </w:pPr>
    </w:p>
    <w:p w14:paraId="1004BEF2" w14:textId="77777777" w:rsidR="0018713B" w:rsidRPr="00B621D3" w:rsidRDefault="0018713B" w:rsidP="00675D94">
      <w:pPr>
        <w:rPr>
          <w:color w:val="000000" w:themeColor="text1"/>
        </w:rPr>
      </w:pPr>
      <w:r w:rsidRPr="00B621D3">
        <w:rPr>
          <w:color w:val="000000" w:themeColor="text1"/>
        </w:rPr>
        <w:t>“</w:t>
      </w:r>
      <w:r w:rsidRPr="00B621D3">
        <w:rPr>
          <w:bCs/>
          <w:color w:val="000000" w:themeColor="text1"/>
        </w:rPr>
        <w:t xml:space="preserve">Public credit registry coverage (% of adults),” data from World Bank. </w:t>
      </w:r>
      <w:r w:rsidRPr="00B621D3">
        <w:rPr>
          <w:color w:val="000000" w:themeColor="text1"/>
        </w:rPr>
        <w:t xml:space="preserve">Available at </w:t>
      </w:r>
      <w:hyperlink r:id="rId31" w:history="1">
        <w:r w:rsidRPr="00B621D3">
          <w:rPr>
            <w:rStyle w:val="Hyperlink"/>
          </w:rPr>
          <w:t>https://data.worldbank.org/indicator/IC.CRD.PUBL.ZS</w:t>
        </w:r>
      </w:hyperlink>
      <w:r w:rsidRPr="00B621D3">
        <w:rPr>
          <w:color w:val="000000" w:themeColor="text1"/>
        </w:rPr>
        <w:t>.</w:t>
      </w:r>
    </w:p>
    <w:p w14:paraId="211DFB72" w14:textId="77777777" w:rsidR="0018713B" w:rsidRPr="00B621D3" w:rsidRDefault="0018713B" w:rsidP="00675D94">
      <w:pPr>
        <w:rPr>
          <w:color w:val="000000" w:themeColor="text1"/>
        </w:rPr>
      </w:pPr>
    </w:p>
    <w:p w14:paraId="1643FA5E" w14:textId="77777777" w:rsidR="0018713B" w:rsidRPr="00B621D3" w:rsidRDefault="0018713B" w:rsidP="00675D94">
      <w:pPr>
        <w:rPr>
          <w:color w:val="000000" w:themeColor="text1"/>
        </w:rPr>
      </w:pPr>
      <w:r w:rsidRPr="00B621D3">
        <w:rPr>
          <w:color w:val="000000" w:themeColor="text1"/>
        </w:rPr>
        <w:t xml:space="preserve">“Registering Property methodology,” Available at </w:t>
      </w:r>
      <w:hyperlink r:id="rId32" w:history="1">
        <w:r w:rsidRPr="00B621D3">
          <w:rPr>
            <w:rStyle w:val="Hyperlink"/>
          </w:rPr>
          <w:t>https://www.doingbusiness.org/en/methodology/registering-property</w:t>
        </w:r>
      </w:hyperlink>
      <w:r w:rsidRPr="00B621D3">
        <w:rPr>
          <w:color w:val="000000" w:themeColor="text1"/>
        </w:rPr>
        <w:t xml:space="preserve">. </w:t>
      </w:r>
    </w:p>
    <w:p w14:paraId="48E8933B" w14:textId="77777777" w:rsidR="0018713B" w:rsidRPr="00B621D3" w:rsidRDefault="0018713B" w:rsidP="00675D94"/>
    <w:p w14:paraId="1D652949" w14:textId="77777777" w:rsidR="0018713B" w:rsidRDefault="0018713B" w:rsidP="00675D94">
      <w:r w:rsidRPr="00B621D3">
        <w:t xml:space="preserve">“Rural population (% of total population),” data from World Bank. Available at </w:t>
      </w:r>
      <w:hyperlink r:id="rId33" w:history="1">
        <w:r w:rsidRPr="00B621D3">
          <w:rPr>
            <w:rStyle w:val="Hyperlink"/>
          </w:rPr>
          <w:t>https://data.worldbank.org/indicator/SP.RUR.TOTL.ZS</w:t>
        </w:r>
      </w:hyperlink>
      <w:r w:rsidRPr="00B621D3">
        <w:t>.</w:t>
      </w:r>
    </w:p>
    <w:p w14:paraId="4CED89BE" w14:textId="77777777" w:rsidR="0018713B" w:rsidRDefault="0018713B" w:rsidP="00675D94">
      <w:pPr>
        <w:pStyle w:val="NormalWeb"/>
        <w:rPr>
          <w:color w:val="000000" w:themeColor="text1"/>
        </w:rPr>
      </w:pPr>
      <w:r>
        <w:rPr>
          <w:color w:val="000000" w:themeColor="text1"/>
        </w:rPr>
        <w:lastRenderedPageBreak/>
        <w:t xml:space="preserve">Soto, Hernando de. </w:t>
      </w:r>
      <w:r>
        <w:rPr>
          <w:i/>
          <w:color w:val="000000" w:themeColor="text1"/>
        </w:rPr>
        <w:t xml:space="preserve">The Other Path: The Economic Answer to Terrorism. </w:t>
      </w:r>
      <w:r>
        <w:rPr>
          <w:color w:val="000000" w:themeColor="text1"/>
        </w:rPr>
        <w:t xml:space="preserve">New York: Basic Books, 1989. </w:t>
      </w:r>
    </w:p>
    <w:p w14:paraId="4FCA2F04" w14:textId="77777777" w:rsidR="0018713B" w:rsidRDefault="0018713B" w:rsidP="00675D94">
      <w:pPr>
        <w:pStyle w:val="NormalWeb"/>
        <w:rPr>
          <w:color w:val="000000" w:themeColor="text1"/>
        </w:rPr>
      </w:pPr>
      <w:r>
        <w:rPr>
          <w:color w:val="000000" w:themeColor="text1"/>
        </w:rPr>
        <w:t xml:space="preserve">____. </w:t>
      </w:r>
      <w:r w:rsidRPr="00572805">
        <w:rPr>
          <w:bCs/>
          <w:i/>
          <w:color w:val="000000" w:themeColor="text1"/>
        </w:rPr>
        <w:t>The Mystery of Capital:</w:t>
      </w:r>
      <w:r w:rsidRPr="00572805">
        <w:rPr>
          <w:b/>
          <w:bCs/>
          <w:i/>
          <w:color w:val="000000" w:themeColor="text1"/>
        </w:rPr>
        <w:t xml:space="preserve"> </w:t>
      </w:r>
      <w:r w:rsidRPr="00572805">
        <w:rPr>
          <w:i/>
          <w:color w:val="000000" w:themeColor="text1"/>
        </w:rPr>
        <w:t>Why Capitalism Triumphs in the West and Fails Everywhere Else</w:t>
      </w:r>
      <w:r>
        <w:rPr>
          <w:i/>
          <w:color w:val="000000" w:themeColor="text1"/>
        </w:rPr>
        <w:t xml:space="preserve">. </w:t>
      </w:r>
      <w:r>
        <w:rPr>
          <w:color w:val="000000" w:themeColor="text1"/>
        </w:rPr>
        <w:t xml:space="preserve">New York: Basic Books, 2001. </w:t>
      </w:r>
    </w:p>
    <w:p w14:paraId="1A7A82FF" w14:textId="77777777" w:rsidR="0018713B" w:rsidRDefault="0018713B" w:rsidP="00675D94">
      <w:pPr>
        <w:pStyle w:val="FootnoteText"/>
        <w:rPr>
          <w:sz w:val="24"/>
          <w:szCs w:val="24"/>
        </w:rPr>
      </w:pPr>
      <w:r>
        <w:rPr>
          <w:sz w:val="24"/>
          <w:szCs w:val="24"/>
        </w:rPr>
        <w:t>____.</w:t>
      </w:r>
      <w:r w:rsidRPr="00B621D3">
        <w:rPr>
          <w:sz w:val="24"/>
          <w:szCs w:val="24"/>
        </w:rPr>
        <w:t xml:space="preserve"> 2001</w:t>
      </w:r>
      <w:r>
        <w:rPr>
          <w:sz w:val="24"/>
          <w:szCs w:val="24"/>
        </w:rPr>
        <w:t>.</w:t>
      </w:r>
      <w:r w:rsidRPr="00B621D3">
        <w:rPr>
          <w:sz w:val="24"/>
          <w:szCs w:val="24"/>
        </w:rPr>
        <w:t xml:space="preserve"> “The Mystery of Capital.” </w:t>
      </w:r>
      <w:r w:rsidRPr="00B621D3">
        <w:rPr>
          <w:i/>
          <w:sz w:val="24"/>
          <w:szCs w:val="24"/>
        </w:rPr>
        <w:t>Finance and Development</w:t>
      </w:r>
      <w:r w:rsidRPr="00B621D3">
        <w:rPr>
          <w:sz w:val="24"/>
          <w:szCs w:val="24"/>
        </w:rPr>
        <w:t xml:space="preserve">, Vol., No.1. IMF. Available at </w:t>
      </w:r>
      <w:hyperlink r:id="rId34" w:history="1">
        <w:r w:rsidRPr="00B621D3">
          <w:rPr>
            <w:rStyle w:val="Hyperlink"/>
            <w:sz w:val="24"/>
            <w:szCs w:val="24"/>
          </w:rPr>
          <w:t>http://www.imf.org/external/pubs/ft/fandd/2001/03/desoto.htm</w:t>
        </w:r>
      </w:hyperlink>
      <w:r w:rsidRPr="00B621D3">
        <w:rPr>
          <w:sz w:val="24"/>
          <w:szCs w:val="24"/>
        </w:rPr>
        <w:t xml:space="preserve">. </w:t>
      </w:r>
    </w:p>
    <w:p w14:paraId="6900429B" w14:textId="77777777" w:rsidR="0018713B" w:rsidRPr="001D5CF6" w:rsidRDefault="0018713B" w:rsidP="00675D94">
      <w:pPr>
        <w:pStyle w:val="FootnoteText"/>
        <w:rPr>
          <w:sz w:val="24"/>
          <w:szCs w:val="24"/>
        </w:rPr>
      </w:pPr>
    </w:p>
    <w:p w14:paraId="4A082992" w14:textId="77777777" w:rsidR="0018713B" w:rsidRPr="00B621D3" w:rsidRDefault="0018713B" w:rsidP="00675D94">
      <w:pPr>
        <w:pStyle w:val="FootnoteText"/>
        <w:rPr>
          <w:sz w:val="24"/>
          <w:szCs w:val="24"/>
        </w:rPr>
      </w:pPr>
      <w:r w:rsidRPr="00B621D3">
        <w:rPr>
          <w:sz w:val="24"/>
          <w:szCs w:val="24"/>
        </w:rPr>
        <w:t xml:space="preserve">Tuck, Laura, and Zackout, Wael, 2019, “7 reasons for land and property rights to be at the top of the global agenda,” World Bank Blogs, World Bank, Available at </w:t>
      </w:r>
      <w:hyperlink r:id="rId35" w:history="1">
        <w:r w:rsidRPr="00B621D3">
          <w:rPr>
            <w:rStyle w:val="Hyperlink"/>
            <w:sz w:val="24"/>
            <w:szCs w:val="24"/>
          </w:rPr>
          <w:t>https://blogs.worldbank.org/voices/7-reasons-land-and-property-rights-be-top-global-agenda</w:t>
        </w:r>
      </w:hyperlink>
      <w:r w:rsidRPr="00B621D3">
        <w:rPr>
          <w:sz w:val="24"/>
          <w:szCs w:val="24"/>
        </w:rPr>
        <w:t>.</w:t>
      </w:r>
    </w:p>
    <w:p w14:paraId="362FAA25" w14:textId="77777777" w:rsidR="0018713B" w:rsidRPr="00B621D3" w:rsidRDefault="0018713B" w:rsidP="00675D94">
      <w:pPr>
        <w:pStyle w:val="FootnoteText"/>
        <w:rPr>
          <w:sz w:val="24"/>
          <w:szCs w:val="24"/>
        </w:rPr>
      </w:pPr>
    </w:p>
    <w:p w14:paraId="5D9F1AB1" w14:textId="77777777" w:rsidR="0018713B" w:rsidRDefault="0018713B" w:rsidP="00675D94">
      <w:r w:rsidRPr="001D5CF6">
        <w:t xml:space="preserve">World Bank. 2018. </w:t>
      </w:r>
      <w:r w:rsidRPr="001D5CF6">
        <w:rPr>
          <w:i/>
        </w:rPr>
        <w:t>Doing Business 2019:</w:t>
      </w:r>
      <w:r w:rsidRPr="001D5CF6">
        <w:t xml:space="preserve"> </w:t>
      </w:r>
      <w:r w:rsidRPr="001D5CF6">
        <w:rPr>
          <w:i/>
        </w:rPr>
        <w:t xml:space="preserve">Training for Reform. </w:t>
      </w:r>
      <w:r w:rsidRPr="001D5CF6">
        <w:t xml:space="preserve">Washington, DC: World Bank. Available at </w:t>
      </w:r>
      <w:hyperlink r:id="rId36" w:history="1">
        <w:r w:rsidRPr="001D5CF6">
          <w:rPr>
            <w:rStyle w:val="Hyperlink"/>
          </w:rPr>
          <w:t>https://www.doingbusiness.org/en/reports/global-reports/doing-business-2019</w:t>
        </w:r>
      </w:hyperlink>
      <w:r w:rsidRPr="001D5CF6">
        <w:t>.</w:t>
      </w:r>
    </w:p>
    <w:p w14:paraId="3BCFDC8E" w14:textId="77777777" w:rsidR="0018713B" w:rsidRDefault="0018713B" w:rsidP="00675D94"/>
    <w:p w14:paraId="304D0EC6" w14:textId="77777777" w:rsidR="0018713B" w:rsidRDefault="0018713B" w:rsidP="00675D94">
      <w:r>
        <w:t>____</w:t>
      </w:r>
      <w:r w:rsidRPr="001D5CF6">
        <w:t>. 2019. “</w:t>
      </w:r>
      <w:r w:rsidRPr="001D5CF6">
        <w:rPr>
          <w:i/>
        </w:rPr>
        <w:t xml:space="preserve">Doing Business 2020 </w:t>
      </w:r>
      <w:r w:rsidRPr="001D5CF6">
        <w:t xml:space="preserve">Overview.” </w:t>
      </w:r>
      <w:r w:rsidRPr="001D5CF6">
        <w:rPr>
          <w:i/>
        </w:rPr>
        <w:t xml:space="preserve">Doing Business. </w:t>
      </w:r>
      <w:r w:rsidRPr="001D5CF6">
        <w:t xml:space="preserve">World Bank, </w:t>
      </w:r>
      <w:hyperlink r:id="rId37" w:history="1">
        <w:r w:rsidRPr="001D5CF6">
          <w:rPr>
            <w:rStyle w:val="Hyperlink"/>
          </w:rPr>
          <w:t>https://www.doingbusiness.org/en/reports/global-reports/doing-business-2020</w:t>
        </w:r>
      </w:hyperlink>
    </w:p>
    <w:p w14:paraId="173C9DF2" w14:textId="77777777" w:rsidR="002F5921" w:rsidRDefault="008B03AB" w:rsidP="0018713B">
      <w:r>
        <w:br/>
      </w:r>
    </w:p>
    <w:p w14:paraId="0B84027E" w14:textId="77777777" w:rsidR="007A7C47" w:rsidRPr="007A7C47" w:rsidRDefault="007A7C47" w:rsidP="0018713B"/>
    <w:p w14:paraId="62604A61" w14:textId="77777777" w:rsidR="007A7C47" w:rsidRDefault="007A7C47" w:rsidP="0018713B">
      <w:pPr>
        <w:rPr>
          <w:rFonts w:ascii="Rockwell" w:hAnsi="Rockwell"/>
          <w:color w:val="2F5496" w:themeColor="accent1" w:themeShade="BF"/>
          <w:sz w:val="28"/>
        </w:rPr>
      </w:pPr>
    </w:p>
    <w:p w14:paraId="23124455" w14:textId="77777777" w:rsidR="007A7C47" w:rsidRDefault="007A7C47" w:rsidP="0018713B">
      <w:pPr>
        <w:rPr>
          <w:rFonts w:ascii="Rockwell" w:hAnsi="Rockwell"/>
          <w:color w:val="2F5496" w:themeColor="accent1" w:themeShade="BF"/>
          <w:sz w:val="28"/>
        </w:rPr>
      </w:pPr>
    </w:p>
    <w:p w14:paraId="0ED4233C" w14:textId="77777777" w:rsidR="007A7C47" w:rsidRDefault="007A7C47" w:rsidP="0018713B">
      <w:pPr>
        <w:rPr>
          <w:rFonts w:ascii="Rockwell" w:hAnsi="Rockwell"/>
          <w:color w:val="2F5496" w:themeColor="accent1" w:themeShade="BF"/>
          <w:sz w:val="28"/>
        </w:rPr>
      </w:pPr>
    </w:p>
    <w:p w14:paraId="7B586AAB" w14:textId="77777777" w:rsidR="007A7C47" w:rsidRDefault="007A7C47" w:rsidP="0018713B">
      <w:pPr>
        <w:rPr>
          <w:rFonts w:ascii="Rockwell" w:hAnsi="Rockwell"/>
          <w:color w:val="2F5496" w:themeColor="accent1" w:themeShade="BF"/>
          <w:sz w:val="28"/>
        </w:rPr>
      </w:pPr>
    </w:p>
    <w:p w14:paraId="0A0112F7" w14:textId="77777777" w:rsidR="007A7C47" w:rsidRDefault="007A7C47" w:rsidP="0018713B">
      <w:pPr>
        <w:rPr>
          <w:rFonts w:ascii="Rockwell" w:hAnsi="Rockwell"/>
          <w:color w:val="2F5496" w:themeColor="accent1" w:themeShade="BF"/>
          <w:sz w:val="28"/>
        </w:rPr>
      </w:pPr>
    </w:p>
    <w:p w14:paraId="6641567C" w14:textId="77777777" w:rsidR="007A7C47" w:rsidRDefault="007A7C47" w:rsidP="0018713B">
      <w:pPr>
        <w:rPr>
          <w:rFonts w:ascii="Rockwell" w:hAnsi="Rockwell"/>
          <w:color w:val="2F5496" w:themeColor="accent1" w:themeShade="BF"/>
          <w:sz w:val="28"/>
        </w:rPr>
      </w:pPr>
    </w:p>
    <w:p w14:paraId="739FBB32" w14:textId="77777777" w:rsidR="007A7C47" w:rsidRDefault="007A7C47" w:rsidP="0018713B">
      <w:pPr>
        <w:rPr>
          <w:rFonts w:ascii="Rockwell" w:hAnsi="Rockwell"/>
          <w:color w:val="2F5496" w:themeColor="accent1" w:themeShade="BF"/>
          <w:sz w:val="28"/>
        </w:rPr>
      </w:pPr>
    </w:p>
    <w:p w14:paraId="51DD596F" w14:textId="77777777" w:rsidR="007A7C47" w:rsidRDefault="007A7C47" w:rsidP="0018713B">
      <w:pPr>
        <w:rPr>
          <w:rFonts w:ascii="Rockwell" w:hAnsi="Rockwell"/>
          <w:color w:val="2F5496" w:themeColor="accent1" w:themeShade="BF"/>
          <w:sz w:val="28"/>
        </w:rPr>
      </w:pPr>
    </w:p>
    <w:p w14:paraId="33BCE34C" w14:textId="77777777" w:rsidR="007A7C47" w:rsidRDefault="007A7C47" w:rsidP="0018713B">
      <w:pPr>
        <w:rPr>
          <w:rFonts w:ascii="Rockwell" w:hAnsi="Rockwell"/>
          <w:color w:val="2F5496" w:themeColor="accent1" w:themeShade="BF"/>
          <w:sz w:val="28"/>
        </w:rPr>
      </w:pPr>
    </w:p>
    <w:p w14:paraId="7068AAA1" w14:textId="77777777" w:rsidR="007A7C47" w:rsidRDefault="007A7C47" w:rsidP="0018713B">
      <w:pPr>
        <w:rPr>
          <w:rFonts w:ascii="Rockwell" w:hAnsi="Rockwell"/>
          <w:color w:val="2F5496" w:themeColor="accent1" w:themeShade="BF"/>
          <w:sz w:val="28"/>
        </w:rPr>
      </w:pPr>
    </w:p>
    <w:p w14:paraId="7A66E263" w14:textId="77777777" w:rsidR="007A7C47" w:rsidRDefault="007A7C47" w:rsidP="0018713B">
      <w:pPr>
        <w:rPr>
          <w:rFonts w:ascii="Rockwell" w:hAnsi="Rockwell"/>
          <w:color w:val="2F5496" w:themeColor="accent1" w:themeShade="BF"/>
          <w:sz w:val="28"/>
        </w:rPr>
      </w:pPr>
    </w:p>
    <w:p w14:paraId="5807F290" w14:textId="77777777" w:rsidR="007A7C47" w:rsidRDefault="007A7C47" w:rsidP="0018713B">
      <w:pPr>
        <w:rPr>
          <w:rFonts w:ascii="Rockwell" w:hAnsi="Rockwell"/>
          <w:color w:val="2F5496" w:themeColor="accent1" w:themeShade="BF"/>
          <w:sz w:val="28"/>
        </w:rPr>
      </w:pPr>
    </w:p>
    <w:p w14:paraId="43F16F3B" w14:textId="77777777" w:rsidR="007A7C47" w:rsidRDefault="007A7C47" w:rsidP="0018713B">
      <w:pPr>
        <w:rPr>
          <w:rFonts w:ascii="Rockwell" w:hAnsi="Rockwell"/>
          <w:color w:val="2F5496" w:themeColor="accent1" w:themeShade="BF"/>
          <w:sz w:val="28"/>
        </w:rPr>
      </w:pPr>
    </w:p>
    <w:p w14:paraId="2044FA02" w14:textId="77777777" w:rsidR="009436F2" w:rsidRDefault="009436F2" w:rsidP="0018713B">
      <w:pPr>
        <w:rPr>
          <w:rFonts w:ascii="Rockwell" w:hAnsi="Rockwell"/>
          <w:color w:val="2F5496" w:themeColor="accent1" w:themeShade="BF"/>
          <w:sz w:val="28"/>
        </w:rPr>
      </w:pPr>
    </w:p>
    <w:p w14:paraId="1137F4D3" w14:textId="77777777" w:rsidR="007A7C47" w:rsidRDefault="007A7C47" w:rsidP="0018713B">
      <w:pPr>
        <w:rPr>
          <w:rFonts w:ascii="Rockwell" w:hAnsi="Rockwell"/>
          <w:color w:val="2F5496" w:themeColor="accent1" w:themeShade="BF"/>
          <w:sz w:val="28"/>
        </w:rPr>
      </w:pPr>
    </w:p>
    <w:p w14:paraId="2AB7EAD1" w14:textId="77777777" w:rsidR="007A7C47" w:rsidRDefault="007A7C47" w:rsidP="0018713B">
      <w:pPr>
        <w:rPr>
          <w:rFonts w:ascii="Rockwell" w:hAnsi="Rockwell"/>
          <w:color w:val="2F5496" w:themeColor="accent1" w:themeShade="BF"/>
          <w:sz w:val="28"/>
        </w:rPr>
      </w:pPr>
    </w:p>
    <w:p w14:paraId="6CB81530" w14:textId="77777777" w:rsidR="007A7C47" w:rsidRDefault="007A7C47" w:rsidP="0018713B">
      <w:pPr>
        <w:rPr>
          <w:rFonts w:ascii="Rockwell" w:hAnsi="Rockwell"/>
          <w:color w:val="2F5496" w:themeColor="accent1" w:themeShade="BF"/>
          <w:sz w:val="28"/>
        </w:rPr>
      </w:pPr>
    </w:p>
    <w:p w14:paraId="6D11B44B" w14:textId="77777777" w:rsidR="007A7C47" w:rsidRDefault="007A7C47" w:rsidP="0018713B">
      <w:pPr>
        <w:rPr>
          <w:rFonts w:ascii="Rockwell" w:hAnsi="Rockwell"/>
          <w:color w:val="2F5496" w:themeColor="accent1" w:themeShade="BF"/>
          <w:sz w:val="28"/>
        </w:rPr>
      </w:pPr>
    </w:p>
    <w:p w14:paraId="5B3E83C7" w14:textId="77777777" w:rsidR="007A7C47" w:rsidRDefault="007A7C47" w:rsidP="0018713B">
      <w:pPr>
        <w:rPr>
          <w:rFonts w:ascii="Rockwell" w:hAnsi="Rockwell"/>
          <w:color w:val="2F5496" w:themeColor="accent1" w:themeShade="BF"/>
          <w:sz w:val="28"/>
        </w:rPr>
      </w:pPr>
    </w:p>
    <w:p w14:paraId="3A82B487" w14:textId="32915141" w:rsidR="006E4BFD" w:rsidRDefault="006E4BFD" w:rsidP="0018713B">
      <w:pPr>
        <w:rPr>
          <w:rFonts w:ascii="Rockwell" w:hAnsi="Rockwell"/>
          <w:color w:val="2F5496" w:themeColor="accent1" w:themeShade="BF"/>
          <w:sz w:val="28"/>
        </w:rPr>
      </w:pPr>
    </w:p>
    <w:p w14:paraId="0BE708F4" w14:textId="77777777" w:rsidR="00103440" w:rsidRDefault="00103440" w:rsidP="0018713B">
      <w:pPr>
        <w:rPr>
          <w:rFonts w:ascii="Rockwell" w:hAnsi="Rockwell"/>
          <w:color w:val="2F5496" w:themeColor="accent1" w:themeShade="BF"/>
          <w:sz w:val="28"/>
        </w:rPr>
      </w:pPr>
    </w:p>
    <w:p w14:paraId="612A4237" w14:textId="7429DE21" w:rsidR="008B03AB" w:rsidRDefault="008B03AB" w:rsidP="0018713B">
      <w:pPr>
        <w:rPr>
          <w:rFonts w:ascii="Rockwell" w:hAnsi="Rockwell"/>
          <w:color w:val="2F5496" w:themeColor="accent1" w:themeShade="BF"/>
          <w:sz w:val="28"/>
        </w:rPr>
      </w:pPr>
      <w:r w:rsidRPr="008B03AB">
        <w:rPr>
          <w:rFonts w:ascii="Rockwell" w:hAnsi="Rockwell"/>
          <w:color w:val="2F5496" w:themeColor="accent1" w:themeShade="BF"/>
          <w:sz w:val="28"/>
        </w:rPr>
        <w:lastRenderedPageBreak/>
        <w:t>Appendix</w:t>
      </w:r>
    </w:p>
    <w:p w14:paraId="2D3B2B72" w14:textId="77777777" w:rsidR="002E756F" w:rsidRDefault="002E756F" w:rsidP="0018713B">
      <w:pPr>
        <w:rPr>
          <w:rFonts w:ascii="Rockwell" w:hAnsi="Rockwell"/>
          <w:color w:val="2F5496" w:themeColor="accent1" w:themeShade="BF"/>
          <w:sz w:val="28"/>
        </w:rPr>
      </w:pPr>
    </w:p>
    <w:p w14:paraId="51FE8ABB" w14:textId="77777777" w:rsidR="002E756F" w:rsidRPr="002E756F" w:rsidRDefault="002E756F" w:rsidP="0018713B">
      <w:pPr>
        <w:rPr>
          <w:b/>
          <w:i/>
          <w:color w:val="4472C4" w:themeColor="accent1"/>
        </w:rPr>
      </w:pPr>
      <w:r w:rsidRPr="002E756F">
        <w:rPr>
          <w:b/>
          <w:i/>
          <w:color w:val="4472C4" w:themeColor="accent1"/>
        </w:rPr>
        <w:t>List of Latin American and Caribbean countries included in regression sample (n=30):</w:t>
      </w:r>
    </w:p>
    <w:p w14:paraId="2D1D0B5D" w14:textId="77777777" w:rsidR="002E756F" w:rsidRPr="000514FE" w:rsidRDefault="002E756F" w:rsidP="002E756F">
      <w:pPr>
        <w:rPr>
          <w:color w:val="000000" w:themeColor="text1"/>
          <w:lang w:val="es-ES"/>
        </w:rPr>
      </w:pPr>
      <w:r w:rsidRPr="000514FE">
        <w:rPr>
          <w:lang w:val="es-ES"/>
        </w:rPr>
        <w:t xml:space="preserve">Antigua and Barbuda, Argentina, Barbados, Belize, Bolivia, Brazil, Chile, Colombia, Costa Rica, Dominica, Ecuador, El Salvador, Guatemala, Grenada, Guyana, Haiti, Honduras, Jamaica, Mexico, Nicaragua, Paraguay, Peru, Panama, Dominican Republic, Saint Kitts and Nevis, Saint Vincent and The Grenadines, St. Lucia, Suriname, Trinidad and Tobago, and Uruguay. </w:t>
      </w:r>
    </w:p>
    <w:p w14:paraId="4E49CA0C" w14:textId="77777777" w:rsidR="002E756F" w:rsidRPr="000514FE" w:rsidRDefault="002E756F" w:rsidP="0018713B">
      <w:pPr>
        <w:rPr>
          <w:b/>
          <w:i/>
          <w:color w:val="4472C4" w:themeColor="accent1"/>
          <w:lang w:val="es-ES"/>
        </w:rPr>
      </w:pPr>
    </w:p>
    <w:p w14:paraId="7FD91156" w14:textId="77777777" w:rsidR="002E756F" w:rsidRDefault="00EB5698" w:rsidP="0018713B">
      <w:pPr>
        <w:rPr>
          <w:b/>
          <w:i/>
          <w:color w:val="4472C4" w:themeColor="accent1"/>
        </w:rPr>
      </w:pPr>
      <w:r>
        <w:rPr>
          <w:b/>
          <w:i/>
          <w:color w:val="4472C4" w:themeColor="accent1"/>
        </w:rPr>
        <w:t xml:space="preserve">First </w:t>
      </w:r>
      <w:r w:rsidR="008B03AB" w:rsidRPr="002E756F">
        <w:rPr>
          <w:b/>
          <w:i/>
          <w:color w:val="4472C4" w:themeColor="accent1"/>
        </w:rPr>
        <w:t xml:space="preserve">Regression </w:t>
      </w:r>
      <w:r w:rsidR="002E756F">
        <w:rPr>
          <w:b/>
          <w:i/>
          <w:color w:val="4472C4" w:themeColor="accent1"/>
        </w:rPr>
        <w:t xml:space="preserve">Statistical </w:t>
      </w:r>
      <w:r w:rsidR="008B03AB" w:rsidRPr="002E756F">
        <w:rPr>
          <w:b/>
          <w:i/>
          <w:color w:val="4472C4" w:themeColor="accent1"/>
        </w:rPr>
        <w:t>Output:</w:t>
      </w:r>
      <w:r w:rsidR="002E756F">
        <w:rPr>
          <w:b/>
          <w:i/>
          <w:color w:val="4472C4" w:themeColor="accent1"/>
        </w:rPr>
        <w:t xml:space="preserve"> </w:t>
      </w:r>
    </w:p>
    <w:p w14:paraId="457B0E6C" w14:textId="77777777" w:rsidR="002E756F" w:rsidRPr="002E756F" w:rsidRDefault="002E756F" w:rsidP="0018713B">
      <w:pPr>
        <w:rPr>
          <w:b/>
          <w:i/>
          <w:color w:val="4472C4" w:themeColor="accent1"/>
        </w:rPr>
      </w:pPr>
      <w:r>
        <w:rPr>
          <w:noProof/>
        </w:rPr>
        <w:drawing>
          <wp:inline distT="0" distB="0" distL="0" distR="0" wp14:anchorId="4F4E2E0D" wp14:editId="054990A7">
            <wp:extent cx="6212784" cy="309776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7-06 at 10.13.01 AM.png"/>
                    <pic:cNvPicPr/>
                  </pic:nvPicPr>
                  <pic:blipFill>
                    <a:blip r:embed="rId38">
                      <a:extLst>
                        <a:ext uri="{28A0092B-C50C-407E-A947-70E740481C1C}">
                          <a14:useLocalDpi xmlns:a14="http://schemas.microsoft.com/office/drawing/2010/main" val="0"/>
                        </a:ext>
                      </a:extLst>
                    </a:blip>
                    <a:stretch>
                      <a:fillRect/>
                    </a:stretch>
                  </pic:blipFill>
                  <pic:spPr>
                    <a:xfrm>
                      <a:off x="0" y="0"/>
                      <a:ext cx="6217347" cy="3100038"/>
                    </a:xfrm>
                    <a:prstGeom prst="rect">
                      <a:avLst/>
                    </a:prstGeom>
                  </pic:spPr>
                </pic:pic>
              </a:graphicData>
            </a:graphic>
          </wp:inline>
        </w:drawing>
      </w:r>
    </w:p>
    <w:p w14:paraId="1CE51A95" w14:textId="77777777" w:rsidR="002E756F" w:rsidRPr="002E756F" w:rsidRDefault="002E756F" w:rsidP="002E756F">
      <w:pPr>
        <w:rPr>
          <w:b/>
          <w:color w:val="000000" w:themeColor="text1"/>
        </w:rPr>
      </w:pPr>
      <w:r w:rsidRPr="002605E9">
        <w:rPr>
          <w:b/>
          <w:noProof/>
          <w:color w:val="000000" w:themeColor="text1"/>
        </w:rPr>
        <w:drawing>
          <wp:inline distT="0" distB="0" distL="0" distR="0" wp14:anchorId="723F07AB" wp14:editId="77162361">
            <wp:extent cx="4385388" cy="11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75912" cy="1166798"/>
                    </a:xfrm>
                    <a:prstGeom prst="rect">
                      <a:avLst/>
                    </a:prstGeom>
                  </pic:spPr>
                </pic:pic>
              </a:graphicData>
            </a:graphic>
          </wp:inline>
        </w:drawing>
      </w:r>
    </w:p>
    <w:p w14:paraId="1C397556" w14:textId="77777777" w:rsidR="002F5921" w:rsidRDefault="002E756F" w:rsidP="002E756F">
      <w:r w:rsidRPr="002605E9">
        <w:rPr>
          <w:noProof/>
        </w:rPr>
        <w:drawing>
          <wp:inline distT="0" distB="0" distL="0" distR="0" wp14:anchorId="27582E9C" wp14:editId="7D00DF93">
            <wp:extent cx="4000634" cy="23151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53153" cy="2345576"/>
                    </a:xfrm>
                    <a:prstGeom prst="rect">
                      <a:avLst/>
                    </a:prstGeom>
                  </pic:spPr>
                </pic:pic>
              </a:graphicData>
            </a:graphic>
          </wp:inline>
        </w:drawing>
      </w:r>
    </w:p>
    <w:p w14:paraId="6357285A" w14:textId="77777777" w:rsidR="002E756F" w:rsidRPr="002F5921" w:rsidRDefault="00EB5698" w:rsidP="002E756F">
      <w:r>
        <w:rPr>
          <w:b/>
          <w:i/>
          <w:color w:val="4472C4" w:themeColor="accent1"/>
        </w:rPr>
        <w:lastRenderedPageBreak/>
        <w:t xml:space="preserve">First </w:t>
      </w:r>
      <w:r w:rsidR="002E756F" w:rsidRPr="002E756F">
        <w:rPr>
          <w:b/>
          <w:i/>
          <w:color w:val="4472C4" w:themeColor="accent1"/>
        </w:rPr>
        <w:t xml:space="preserve">Regression </w:t>
      </w:r>
      <w:r w:rsidR="002E756F">
        <w:rPr>
          <w:b/>
          <w:i/>
          <w:color w:val="4472C4" w:themeColor="accent1"/>
        </w:rPr>
        <w:t xml:space="preserve">Statistical </w:t>
      </w:r>
      <w:r w:rsidR="002E756F" w:rsidRPr="002E756F">
        <w:rPr>
          <w:b/>
          <w:i/>
          <w:color w:val="4472C4" w:themeColor="accent1"/>
        </w:rPr>
        <w:t>Output</w:t>
      </w:r>
      <w:r w:rsidR="002E756F">
        <w:rPr>
          <w:b/>
          <w:i/>
          <w:color w:val="4472C4" w:themeColor="accent1"/>
        </w:rPr>
        <w:t xml:space="preserve"> cont’d:</w:t>
      </w:r>
    </w:p>
    <w:p w14:paraId="21B3E2CF" w14:textId="77777777" w:rsidR="002E756F" w:rsidRDefault="002E756F" w:rsidP="002E756F">
      <w:r w:rsidRPr="002605E9">
        <w:rPr>
          <w:noProof/>
        </w:rPr>
        <w:drawing>
          <wp:inline distT="0" distB="0" distL="0" distR="0" wp14:anchorId="258E007E" wp14:editId="53B59F70">
            <wp:extent cx="2188925" cy="7424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22745" cy="753971"/>
                    </a:xfrm>
                    <a:prstGeom prst="rect">
                      <a:avLst/>
                    </a:prstGeom>
                  </pic:spPr>
                </pic:pic>
              </a:graphicData>
            </a:graphic>
          </wp:inline>
        </w:drawing>
      </w:r>
    </w:p>
    <w:p w14:paraId="0D10D813" w14:textId="77777777" w:rsidR="002E756F" w:rsidRPr="002E756F" w:rsidRDefault="002E756F" w:rsidP="008B03AB">
      <w:pPr>
        <w:rPr>
          <w:b/>
          <w:highlight w:val="yellow"/>
        </w:rPr>
      </w:pPr>
      <w:r w:rsidRPr="00CB624D">
        <w:rPr>
          <w:b/>
          <w:noProof/>
        </w:rPr>
        <w:drawing>
          <wp:inline distT="0" distB="0" distL="0" distR="0" wp14:anchorId="79B27855" wp14:editId="4EBF3D41">
            <wp:extent cx="4901184" cy="326745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28738" cy="3285824"/>
                    </a:xfrm>
                    <a:prstGeom prst="rect">
                      <a:avLst/>
                    </a:prstGeom>
                  </pic:spPr>
                </pic:pic>
              </a:graphicData>
            </a:graphic>
          </wp:inline>
        </w:drawing>
      </w:r>
    </w:p>
    <w:p w14:paraId="5A3DFF35" w14:textId="77777777" w:rsidR="002E756F" w:rsidRDefault="002E756F" w:rsidP="008B03AB">
      <w:pPr>
        <w:rPr>
          <w:b/>
          <w:i/>
          <w:color w:val="4472C4" w:themeColor="accent1"/>
        </w:rPr>
      </w:pPr>
    </w:p>
    <w:p w14:paraId="177477D6" w14:textId="77777777" w:rsidR="00B54155" w:rsidRDefault="00B54155" w:rsidP="008B03AB">
      <w:pPr>
        <w:rPr>
          <w:b/>
          <w:i/>
          <w:color w:val="4472C4" w:themeColor="accent1"/>
        </w:rPr>
      </w:pPr>
    </w:p>
    <w:p w14:paraId="6A260F93" w14:textId="77777777" w:rsidR="002E756F" w:rsidRDefault="00EB5698" w:rsidP="008B03AB">
      <w:pPr>
        <w:rPr>
          <w:b/>
          <w:i/>
          <w:color w:val="4472C4" w:themeColor="accent1"/>
        </w:rPr>
      </w:pPr>
      <w:r>
        <w:rPr>
          <w:b/>
          <w:i/>
          <w:color w:val="4472C4" w:themeColor="accent1"/>
        </w:rPr>
        <w:t xml:space="preserve">Second </w:t>
      </w:r>
      <w:r w:rsidR="008B03AB" w:rsidRPr="002E756F">
        <w:rPr>
          <w:b/>
          <w:i/>
          <w:color w:val="4472C4" w:themeColor="accent1"/>
        </w:rPr>
        <w:t xml:space="preserve">Regression </w:t>
      </w:r>
      <w:r w:rsidR="002E756F">
        <w:rPr>
          <w:b/>
          <w:i/>
          <w:color w:val="4472C4" w:themeColor="accent1"/>
        </w:rPr>
        <w:t xml:space="preserve">Statistical </w:t>
      </w:r>
      <w:r w:rsidR="008B03AB" w:rsidRPr="002E756F">
        <w:rPr>
          <w:b/>
          <w:i/>
          <w:color w:val="4472C4" w:themeColor="accent1"/>
        </w:rPr>
        <w:t>Output:</w:t>
      </w:r>
    </w:p>
    <w:p w14:paraId="51307B81" w14:textId="77777777" w:rsidR="002E756F" w:rsidRDefault="002E756F" w:rsidP="008B03AB">
      <w:pPr>
        <w:rPr>
          <w:b/>
          <w:i/>
          <w:color w:val="4472C4" w:themeColor="accent1"/>
        </w:rPr>
      </w:pPr>
    </w:p>
    <w:p w14:paraId="4BFEDC6E" w14:textId="77777777" w:rsidR="00B54155" w:rsidRDefault="002E756F" w:rsidP="002E756F">
      <w:pPr>
        <w:rPr>
          <w:b/>
          <w:i/>
          <w:color w:val="4472C4" w:themeColor="accent1"/>
        </w:rPr>
      </w:pPr>
      <w:r>
        <w:rPr>
          <w:noProof/>
        </w:rPr>
        <w:drawing>
          <wp:inline distT="0" distB="0" distL="0" distR="0" wp14:anchorId="199DC181" wp14:editId="54153200">
            <wp:extent cx="5895975" cy="3015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7-06 at 10.59.40 AM.png"/>
                    <pic:cNvPicPr/>
                  </pic:nvPicPr>
                  <pic:blipFill>
                    <a:blip r:embed="rId43">
                      <a:extLst>
                        <a:ext uri="{28A0092B-C50C-407E-A947-70E740481C1C}">
                          <a14:useLocalDpi xmlns:a14="http://schemas.microsoft.com/office/drawing/2010/main" val="0"/>
                        </a:ext>
                      </a:extLst>
                    </a:blip>
                    <a:stretch>
                      <a:fillRect/>
                    </a:stretch>
                  </pic:blipFill>
                  <pic:spPr>
                    <a:xfrm>
                      <a:off x="0" y="0"/>
                      <a:ext cx="5938851" cy="3037839"/>
                    </a:xfrm>
                    <a:prstGeom prst="rect">
                      <a:avLst/>
                    </a:prstGeom>
                  </pic:spPr>
                </pic:pic>
              </a:graphicData>
            </a:graphic>
          </wp:inline>
        </w:drawing>
      </w:r>
    </w:p>
    <w:p w14:paraId="0B5B3644" w14:textId="77777777" w:rsidR="002F5921" w:rsidRDefault="002F5921" w:rsidP="002E756F">
      <w:pPr>
        <w:rPr>
          <w:b/>
          <w:i/>
          <w:color w:val="4472C4" w:themeColor="accent1"/>
        </w:rPr>
      </w:pPr>
    </w:p>
    <w:p w14:paraId="453D7B10" w14:textId="77777777" w:rsidR="002E756F" w:rsidRDefault="00EB5698" w:rsidP="002E756F">
      <w:pPr>
        <w:rPr>
          <w:b/>
          <w:i/>
          <w:color w:val="4472C4" w:themeColor="accent1"/>
        </w:rPr>
      </w:pPr>
      <w:r>
        <w:rPr>
          <w:b/>
          <w:i/>
          <w:color w:val="4472C4" w:themeColor="accent1"/>
        </w:rPr>
        <w:lastRenderedPageBreak/>
        <w:t xml:space="preserve">Second </w:t>
      </w:r>
      <w:r w:rsidR="002E756F" w:rsidRPr="002E756F">
        <w:rPr>
          <w:b/>
          <w:i/>
          <w:color w:val="4472C4" w:themeColor="accent1"/>
        </w:rPr>
        <w:t xml:space="preserve">Regression </w:t>
      </w:r>
      <w:r w:rsidR="002E756F">
        <w:rPr>
          <w:b/>
          <w:i/>
          <w:color w:val="4472C4" w:themeColor="accent1"/>
        </w:rPr>
        <w:t xml:space="preserve">Statistical </w:t>
      </w:r>
      <w:r w:rsidR="002E756F" w:rsidRPr="002E756F">
        <w:rPr>
          <w:b/>
          <w:i/>
          <w:color w:val="4472C4" w:themeColor="accent1"/>
        </w:rPr>
        <w:t>Output</w:t>
      </w:r>
      <w:r w:rsidR="002E756F">
        <w:rPr>
          <w:b/>
          <w:i/>
          <w:color w:val="4472C4" w:themeColor="accent1"/>
        </w:rPr>
        <w:t xml:space="preserve"> cont’d:</w:t>
      </w:r>
    </w:p>
    <w:p w14:paraId="62A6DCAB" w14:textId="77777777" w:rsidR="002E756F" w:rsidRDefault="002E756F" w:rsidP="002E756F">
      <w:r w:rsidRPr="002605E9">
        <w:rPr>
          <w:b/>
          <w:noProof/>
        </w:rPr>
        <w:drawing>
          <wp:inline distT="0" distB="0" distL="0" distR="0" wp14:anchorId="4C2C166C" wp14:editId="526500B4">
            <wp:extent cx="4804146" cy="116664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36167" cy="1198709"/>
                    </a:xfrm>
                    <a:prstGeom prst="rect">
                      <a:avLst/>
                    </a:prstGeom>
                  </pic:spPr>
                </pic:pic>
              </a:graphicData>
            </a:graphic>
          </wp:inline>
        </w:drawing>
      </w:r>
    </w:p>
    <w:p w14:paraId="366C6D61" w14:textId="77777777" w:rsidR="002E756F" w:rsidRPr="004E52BB" w:rsidRDefault="002E756F" w:rsidP="002E756F">
      <w:r w:rsidRPr="002605E9">
        <w:rPr>
          <w:noProof/>
        </w:rPr>
        <w:drawing>
          <wp:inline distT="0" distB="0" distL="0" distR="0" wp14:anchorId="07D8E092" wp14:editId="262BF916">
            <wp:extent cx="4416357" cy="2469998"/>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39493" cy="2482938"/>
                    </a:xfrm>
                    <a:prstGeom prst="rect">
                      <a:avLst/>
                    </a:prstGeom>
                  </pic:spPr>
                </pic:pic>
              </a:graphicData>
            </a:graphic>
          </wp:inline>
        </w:drawing>
      </w:r>
      <w:r w:rsidRPr="002605E9">
        <w:rPr>
          <w:noProof/>
        </w:rPr>
        <w:drawing>
          <wp:inline distT="0" distB="0" distL="0" distR="0" wp14:anchorId="7FFF95BC" wp14:editId="0B2037D9">
            <wp:extent cx="2104845" cy="713979"/>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52761" cy="730232"/>
                    </a:xfrm>
                    <a:prstGeom prst="rect">
                      <a:avLst/>
                    </a:prstGeom>
                  </pic:spPr>
                </pic:pic>
              </a:graphicData>
            </a:graphic>
          </wp:inline>
        </w:drawing>
      </w:r>
    </w:p>
    <w:p w14:paraId="78ACF33C" w14:textId="77777777" w:rsidR="008B03AB" w:rsidRPr="008B03AB" w:rsidRDefault="002E756F" w:rsidP="0018713B">
      <w:pPr>
        <w:rPr>
          <w:color w:val="000000" w:themeColor="text1"/>
        </w:rPr>
      </w:pPr>
      <w:r w:rsidRPr="002605E9">
        <w:rPr>
          <w:b/>
          <w:noProof/>
        </w:rPr>
        <w:drawing>
          <wp:inline distT="0" distB="0" distL="0" distR="0" wp14:anchorId="6E0B3EB2" wp14:editId="40711BB7">
            <wp:extent cx="5273040" cy="35153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3040" cy="3515360"/>
                    </a:xfrm>
                    <a:prstGeom prst="rect">
                      <a:avLst/>
                    </a:prstGeom>
                  </pic:spPr>
                </pic:pic>
              </a:graphicData>
            </a:graphic>
          </wp:inline>
        </w:drawing>
      </w:r>
    </w:p>
    <w:sectPr w:rsidR="008B03AB" w:rsidRPr="008B03AB" w:rsidSect="00C872B1">
      <w:footerReference w:type="first" r:id="rId4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A1F0E" w14:textId="77777777" w:rsidR="00C141E0" w:rsidRDefault="00C141E0" w:rsidP="00376E66">
      <w:r>
        <w:separator/>
      </w:r>
    </w:p>
  </w:endnote>
  <w:endnote w:type="continuationSeparator" w:id="0">
    <w:p w14:paraId="23C324AF" w14:textId="77777777" w:rsidR="00C141E0" w:rsidRDefault="00C141E0" w:rsidP="0037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Rockwell">
    <w:panose1 w:val="020606030202050204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9051484"/>
      <w:docPartObj>
        <w:docPartGallery w:val="Page Numbers (Bottom of Page)"/>
        <w:docPartUnique/>
      </w:docPartObj>
    </w:sdtPr>
    <w:sdtEndPr>
      <w:rPr>
        <w:rStyle w:val="PageNumber"/>
      </w:rPr>
    </w:sdtEndPr>
    <w:sdtContent>
      <w:p w14:paraId="3B87BD4F" w14:textId="77777777" w:rsidR="00E828B7" w:rsidRDefault="00E828B7" w:rsidP="00085DF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764E26" w14:textId="77777777" w:rsidR="00E828B7" w:rsidRDefault="00E828B7" w:rsidP="00DF6D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4242635"/>
      <w:docPartObj>
        <w:docPartGallery w:val="Page Numbers (Bottom of Page)"/>
        <w:docPartUnique/>
      </w:docPartObj>
    </w:sdtPr>
    <w:sdtEndPr>
      <w:rPr>
        <w:rStyle w:val="PageNumber"/>
      </w:rPr>
    </w:sdtEndPr>
    <w:sdtContent>
      <w:p w14:paraId="4202DCD8" w14:textId="77777777" w:rsidR="00E828B7" w:rsidRDefault="00C141E0" w:rsidP="00085DFF">
        <w:pPr>
          <w:pStyle w:val="Footer"/>
          <w:framePr w:wrap="none" w:vAnchor="text" w:hAnchor="margin" w:xAlign="center" w:y="1"/>
          <w:rPr>
            <w:rStyle w:val="PageNumber"/>
          </w:rPr>
        </w:pPr>
      </w:p>
    </w:sdtContent>
  </w:sdt>
  <w:p w14:paraId="02DF2C7B" w14:textId="77777777" w:rsidR="00E828B7" w:rsidRPr="006B1441" w:rsidRDefault="00E828B7" w:rsidP="00C872B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336250"/>
      <w:docPartObj>
        <w:docPartGallery w:val="Page Numbers (Bottom of Page)"/>
        <w:docPartUnique/>
      </w:docPartObj>
    </w:sdtPr>
    <w:sdtEndPr>
      <w:rPr>
        <w:rStyle w:val="PageNumber"/>
      </w:rPr>
    </w:sdtEndPr>
    <w:sdtContent>
      <w:p w14:paraId="33480F61" w14:textId="77777777" w:rsidR="00E828B7" w:rsidRDefault="00E828B7" w:rsidP="001918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82C30B" w14:textId="77777777" w:rsidR="00E828B7" w:rsidRDefault="00E82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0B097" w14:textId="77777777" w:rsidR="00C141E0" w:rsidRDefault="00C141E0" w:rsidP="00376E66">
      <w:r>
        <w:separator/>
      </w:r>
    </w:p>
  </w:footnote>
  <w:footnote w:type="continuationSeparator" w:id="0">
    <w:p w14:paraId="5359FB5E" w14:textId="77777777" w:rsidR="00C141E0" w:rsidRDefault="00C141E0" w:rsidP="00376E66">
      <w:r>
        <w:continuationSeparator/>
      </w:r>
    </w:p>
  </w:footnote>
  <w:footnote w:id="1">
    <w:p w14:paraId="52BF767D" w14:textId="77777777" w:rsidR="00E828B7" w:rsidRPr="0088286B" w:rsidRDefault="00E828B7">
      <w:pPr>
        <w:pStyle w:val="FootnoteText"/>
      </w:pPr>
      <w:r w:rsidRPr="0088286B">
        <w:rPr>
          <w:rStyle w:val="FootnoteReference"/>
        </w:rPr>
        <w:footnoteRef/>
      </w:r>
      <w:r w:rsidRPr="0088286B">
        <w:t xml:space="preserve"> Tuck, Laura, and Zackout, Wael, 2019, “7 </w:t>
      </w:r>
      <w:r>
        <w:t>R</w:t>
      </w:r>
      <w:r w:rsidRPr="0088286B">
        <w:t xml:space="preserve">easons for </w:t>
      </w:r>
      <w:r>
        <w:t>L</w:t>
      </w:r>
      <w:r w:rsidRPr="0088286B">
        <w:t xml:space="preserve">and and </w:t>
      </w:r>
      <w:r>
        <w:t>P</w:t>
      </w:r>
      <w:r w:rsidRPr="0088286B">
        <w:t xml:space="preserve">roperty </w:t>
      </w:r>
      <w:r>
        <w:t>R</w:t>
      </w:r>
      <w:r w:rsidRPr="0088286B">
        <w:t xml:space="preserve">ights to be at the </w:t>
      </w:r>
      <w:r>
        <w:t>T</w:t>
      </w:r>
      <w:r w:rsidRPr="0088286B">
        <w:t xml:space="preserve">op of the </w:t>
      </w:r>
      <w:r>
        <w:t>G</w:t>
      </w:r>
      <w:r w:rsidRPr="0088286B">
        <w:t xml:space="preserve">lobal </w:t>
      </w:r>
      <w:r>
        <w:t>A</w:t>
      </w:r>
      <w:r w:rsidRPr="0088286B">
        <w:t xml:space="preserve">genda,” World Bank Blogs, World Bank, Available at </w:t>
      </w:r>
      <w:hyperlink r:id="rId1" w:history="1">
        <w:r w:rsidRPr="0088286B">
          <w:rPr>
            <w:rStyle w:val="Hyperlink"/>
          </w:rPr>
          <w:t>https://blogs.worldbank.org/voices/7-reasons-land-and-property-rights-be-top-global-agenda</w:t>
        </w:r>
      </w:hyperlink>
      <w:r w:rsidRPr="0088286B">
        <w:t>.</w:t>
      </w:r>
    </w:p>
  </w:footnote>
  <w:footnote w:id="2">
    <w:p w14:paraId="1631714E" w14:textId="77777777" w:rsidR="00E828B7" w:rsidRPr="0088286B" w:rsidRDefault="00E828B7" w:rsidP="0068345C">
      <w:pPr>
        <w:pStyle w:val="FootnoteText"/>
      </w:pPr>
      <w:r w:rsidRPr="0088286B">
        <w:rPr>
          <w:rStyle w:val="FootnoteReference"/>
        </w:rPr>
        <w:footnoteRef/>
      </w:r>
      <w:r w:rsidRPr="0088286B">
        <w:t xml:space="preserve"> Tuck, Laura, and Zackout, Wael, 2019, “7 </w:t>
      </w:r>
      <w:r>
        <w:t>R</w:t>
      </w:r>
      <w:r w:rsidRPr="0088286B">
        <w:t>easons”</w:t>
      </w:r>
    </w:p>
  </w:footnote>
  <w:footnote w:id="3">
    <w:p w14:paraId="01D4734A" w14:textId="77777777" w:rsidR="00E828B7" w:rsidRPr="0088286B" w:rsidRDefault="00E828B7" w:rsidP="0068345C">
      <w:pPr>
        <w:pStyle w:val="FootnoteText"/>
      </w:pPr>
      <w:r w:rsidRPr="0088286B">
        <w:rPr>
          <w:rStyle w:val="FootnoteReference"/>
        </w:rPr>
        <w:footnoteRef/>
      </w:r>
      <w:r w:rsidRPr="0088286B">
        <w:t xml:space="preserve"> The Heritage Foundation, 2021, “The 12 Economic Freedoms: Policies for Lasting Progress</w:t>
      </w:r>
    </w:p>
    <w:p w14:paraId="4E5788F7" w14:textId="77777777" w:rsidR="00E828B7" w:rsidRPr="0088286B" w:rsidRDefault="00E828B7" w:rsidP="0068345C">
      <w:pPr>
        <w:pStyle w:val="FootnoteText"/>
      </w:pPr>
      <w:r w:rsidRPr="0088286B">
        <w:t xml:space="preserve">and Prosperity,” 2021 Index of Economic Freedom, the Heritage Foundation, Available at </w:t>
      </w:r>
      <w:hyperlink r:id="rId2" w:history="1">
        <w:r w:rsidRPr="0088286B">
          <w:rPr>
            <w:rStyle w:val="Hyperlink"/>
          </w:rPr>
          <w:t>https://www.heritage.org/index/pdf/2021/book/2021_IndexofEconomicFreedom_CHAPTER02.pdf</w:t>
        </w:r>
      </w:hyperlink>
      <w:r w:rsidRPr="0088286B">
        <w:t xml:space="preserve">. </w:t>
      </w:r>
    </w:p>
  </w:footnote>
  <w:footnote w:id="4">
    <w:p w14:paraId="0F2E5695" w14:textId="77777777" w:rsidR="00E828B7" w:rsidRPr="0088286B" w:rsidRDefault="00E828B7" w:rsidP="000871A8">
      <w:pPr>
        <w:rPr>
          <w:color w:val="000000" w:themeColor="text1"/>
          <w:sz w:val="20"/>
          <w:szCs w:val="20"/>
        </w:rPr>
      </w:pPr>
      <w:r w:rsidRPr="0088286B">
        <w:rPr>
          <w:rStyle w:val="FootnoteReference"/>
          <w:sz w:val="20"/>
          <w:szCs w:val="20"/>
        </w:rPr>
        <w:footnoteRef/>
      </w:r>
      <w:r w:rsidRPr="0088286B">
        <w:rPr>
          <w:sz w:val="20"/>
          <w:szCs w:val="20"/>
        </w:rPr>
        <w:t xml:space="preserve"> </w:t>
      </w:r>
      <w:r w:rsidRPr="0088286B">
        <w:rPr>
          <w:color w:val="000000" w:themeColor="text1"/>
          <w:sz w:val="20"/>
          <w:szCs w:val="20"/>
          <w:shd w:val="clear" w:color="auto" w:fill="FFFFFF"/>
        </w:rPr>
        <w:t>Goldfinch, Shaun, 2015, “Property Rights and the Mystery of Capital: A Review of de Soto’s Simplistic Solution to Development,” </w:t>
      </w:r>
      <w:r w:rsidRPr="0088286B">
        <w:rPr>
          <w:i/>
          <w:iCs/>
          <w:color w:val="000000" w:themeColor="text1"/>
          <w:sz w:val="20"/>
          <w:szCs w:val="20"/>
          <w:shd w:val="clear" w:color="auto" w:fill="FFFFFF"/>
        </w:rPr>
        <w:t>Progress in Development Studies</w:t>
      </w:r>
      <w:r w:rsidRPr="0088286B">
        <w:rPr>
          <w:color w:val="000000" w:themeColor="text1"/>
          <w:sz w:val="20"/>
          <w:szCs w:val="20"/>
          <w:shd w:val="clear" w:color="auto" w:fill="FFFFFF"/>
        </w:rPr>
        <w:t xml:space="preserve"> 15, 1: 87–96. Available at </w:t>
      </w:r>
      <w:hyperlink r:id="rId3" w:history="1">
        <w:r w:rsidRPr="0088286B">
          <w:rPr>
            <w:rStyle w:val="Hyperlink"/>
            <w:sz w:val="20"/>
            <w:szCs w:val="20"/>
            <w:shd w:val="clear" w:color="auto" w:fill="FFFFFF"/>
          </w:rPr>
          <w:t>https://www.researchgate.net/publication/273093918_Property_rights_and_the_mystery_of_capital_A_review_of_de_Soto%27s_simplistic_solution_to_development</w:t>
        </w:r>
      </w:hyperlink>
      <w:r w:rsidRPr="0088286B">
        <w:rPr>
          <w:color w:val="000000" w:themeColor="text1"/>
          <w:sz w:val="20"/>
          <w:szCs w:val="20"/>
          <w:shd w:val="clear" w:color="auto" w:fill="FFFFFF"/>
        </w:rPr>
        <w:t xml:space="preserve">. </w:t>
      </w:r>
    </w:p>
  </w:footnote>
  <w:footnote w:id="5">
    <w:p w14:paraId="7FBC5D5A" w14:textId="77777777" w:rsidR="00E828B7" w:rsidRPr="000C44BA" w:rsidRDefault="00E828B7" w:rsidP="00321C3D">
      <w:pPr>
        <w:rPr>
          <w:iCs/>
          <w:color w:val="000000" w:themeColor="text1"/>
          <w:sz w:val="20"/>
          <w:szCs w:val="20"/>
        </w:rPr>
      </w:pPr>
      <w:r w:rsidRPr="0088286B">
        <w:rPr>
          <w:rStyle w:val="FootnoteReference"/>
          <w:sz w:val="20"/>
          <w:szCs w:val="20"/>
        </w:rPr>
        <w:footnoteRef/>
      </w:r>
      <w:r w:rsidRPr="0088286B">
        <w:rPr>
          <w:sz w:val="20"/>
          <w:szCs w:val="20"/>
        </w:rPr>
        <w:t xml:space="preserve"> </w:t>
      </w:r>
      <w:r w:rsidRPr="0088286B">
        <w:rPr>
          <w:iCs/>
          <w:color w:val="000000" w:themeColor="text1"/>
          <w:sz w:val="20"/>
          <w:szCs w:val="20"/>
        </w:rPr>
        <w:t>Hilhorst, Thea, and Meunier, Frederic</w:t>
      </w:r>
      <w:r>
        <w:rPr>
          <w:iCs/>
          <w:color w:val="000000" w:themeColor="text1"/>
          <w:sz w:val="20"/>
          <w:szCs w:val="20"/>
        </w:rPr>
        <w:t xml:space="preserve">, </w:t>
      </w:r>
      <w:r w:rsidRPr="0088286B">
        <w:rPr>
          <w:iCs/>
          <w:color w:val="000000" w:themeColor="text1"/>
          <w:sz w:val="20"/>
          <w:szCs w:val="20"/>
        </w:rPr>
        <w:t>2015</w:t>
      </w:r>
      <w:r>
        <w:rPr>
          <w:i/>
          <w:iCs/>
          <w:color w:val="000000" w:themeColor="text1"/>
          <w:sz w:val="20"/>
          <w:szCs w:val="20"/>
        </w:rPr>
        <w:t>,</w:t>
      </w:r>
      <w:r w:rsidRPr="0088286B">
        <w:rPr>
          <w:i/>
          <w:iCs/>
          <w:color w:val="000000" w:themeColor="text1"/>
          <w:sz w:val="20"/>
          <w:szCs w:val="20"/>
        </w:rPr>
        <w:t> How Innovations in Land Administration Reform Improve on Doing Business : Cases from Lithuania, the Republic of Korea, Rwanda and the United Kingdom</w:t>
      </w:r>
      <w:r>
        <w:rPr>
          <w:i/>
          <w:iCs/>
          <w:color w:val="000000" w:themeColor="text1"/>
          <w:sz w:val="20"/>
          <w:szCs w:val="20"/>
        </w:rPr>
        <w:t>,</w:t>
      </w:r>
      <w:r w:rsidRPr="0088286B">
        <w:rPr>
          <w:i/>
          <w:iCs/>
          <w:color w:val="000000" w:themeColor="text1"/>
          <w:sz w:val="20"/>
          <w:szCs w:val="20"/>
        </w:rPr>
        <w:t xml:space="preserve"> </w:t>
      </w:r>
      <w:r w:rsidRPr="0088286B">
        <w:rPr>
          <w:iCs/>
          <w:color w:val="000000" w:themeColor="text1"/>
          <w:sz w:val="20"/>
          <w:szCs w:val="20"/>
        </w:rPr>
        <w:t>Washington, DC: World Bank</w:t>
      </w:r>
      <w:r>
        <w:rPr>
          <w:i/>
          <w:iCs/>
          <w:color w:val="000000" w:themeColor="text1"/>
          <w:sz w:val="20"/>
          <w:szCs w:val="20"/>
        </w:rPr>
        <w:t>,</w:t>
      </w:r>
      <w:r w:rsidRPr="0088286B">
        <w:rPr>
          <w:i/>
          <w:iCs/>
          <w:color w:val="000000" w:themeColor="text1"/>
          <w:sz w:val="20"/>
          <w:szCs w:val="20"/>
        </w:rPr>
        <w:t xml:space="preserve"> </w:t>
      </w:r>
      <w:r w:rsidRPr="0088286B">
        <w:rPr>
          <w:iCs/>
          <w:color w:val="000000" w:themeColor="text1"/>
          <w:sz w:val="20"/>
          <w:szCs w:val="20"/>
        </w:rPr>
        <w:t xml:space="preserve">Available at </w:t>
      </w:r>
      <w:hyperlink r:id="rId4" w:history="1">
        <w:r w:rsidRPr="000C44BA">
          <w:rPr>
            <w:rStyle w:val="Hyperlink"/>
            <w:iCs/>
            <w:sz w:val="20"/>
            <w:szCs w:val="20"/>
          </w:rPr>
          <w:t>https://documents.worldbank.org/en/publication/documents-reports/documentdetail/450041467995100809/how-innovations-in-land-administration-reform-improve-on-doing-business-cases-from-lithuania-the-republic-of-korea-rwanda-and-the-united-kingdom</w:t>
        </w:r>
      </w:hyperlink>
      <w:r w:rsidRPr="000C44BA">
        <w:rPr>
          <w:iCs/>
          <w:color w:val="000000" w:themeColor="text1"/>
          <w:sz w:val="20"/>
          <w:szCs w:val="20"/>
        </w:rPr>
        <w:t>.</w:t>
      </w:r>
    </w:p>
  </w:footnote>
  <w:footnote w:id="6">
    <w:p w14:paraId="785653FB" w14:textId="77777777" w:rsidR="00E828B7" w:rsidRPr="000C44BA" w:rsidRDefault="00E828B7" w:rsidP="00721B4B">
      <w:pPr>
        <w:pStyle w:val="FootnoteText"/>
      </w:pPr>
      <w:r w:rsidRPr="000C44BA">
        <w:rPr>
          <w:rStyle w:val="FootnoteReference"/>
        </w:rPr>
        <w:footnoteRef/>
      </w:r>
      <w:r w:rsidRPr="000C44BA">
        <w:t xml:space="preserve">Besley, Timothy, and Ghatak, Maitreesh, 2009, “The De Soto Effect,” The London School of Economics, Research Paper No. EOPP008, Available at </w:t>
      </w:r>
      <w:hyperlink r:id="rId5" w:history="1">
        <w:r w:rsidRPr="000C44BA">
          <w:rPr>
            <w:rStyle w:val="Hyperlink"/>
          </w:rPr>
          <w:t>http://sticerd.lse.ac.uk/dps/eopp/eopp08.pdf</w:t>
        </w:r>
      </w:hyperlink>
      <w:r w:rsidRPr="000C44BA">
        <w:t>.</w:t>
      </w:r>
    </w:p>
  </w:footnote>
  <w:footnote w:id="7">
    <w:p w14:paraId="22E0C1FE" w14:textId="77777777" w:rsidR="00E828B7" w:rsidRPr="000C44BA" w:rsidRDefault="00E828B7" w:rsidP="001A79BC">
      <w:pPr>
        <w:pStyle w:val="FootnoteText"/>
      </w:pPr>
      <w:r w:rsidRPr="000C44BA">
        <w:rPr>
          <w:rStyle w:val="FootnoteReference"/>
        </w:rPr>
        <w:footnoteRef/>
      </w:r>
      <w:r w:rsidRPr="000C44BA">
        <w:t xml:space="preserve"> Keefer, Phillip, Knack, Stephen, 2002, “Polarization, Politics and Property Rights: Links Between Inequality and Growth,” </w:t>
      </w:r>
      <w:r w:rsidRPr="000C44BA">
        <w:rPr>
          <w:i/>
          <w:iCs/>
        </w:rPr>
        <w:t>Public Choice</w:t>
      </w:r>
      <w:r w:rsidRPr="000C44BA">
        <w:t> </w:t>
      </w:r>
      <w:r w:rsidRPr="000C44BA">
        <w:rPr>
          <w:bCs/>
        </w:rPr>
        <w:t>111</w:t>
      </w:r>
      <w:r w:rsidRPr="000C44BA">
        <w:rPr>
          <w:b/>
          <w:bCs/>
        </w:rPr>
        <w:t>, </w:t>
      </w:r>
      <w:r w:rsidRPr="000C44BA">
        <w:rPr>
          <w:bCs/>
        </w:rPr>
        <w:t xml:space="preserve">pp. </w:t>
      </w:r>
      <w:r w:rsidRPr="000C44BA">
        <w:t xml:space="preserve">127–154. Available at </w:t>
      </w:r>
      <w:hyperlink r:id="rId6" w:history="1">
        <w:r w:rsidRPr="000C44BA">
          <w:rPr>
            <w:rStyle w:val="Hyperlink"/>
          </w:rPr>
          <w:t>https://doi.org/10.1023/A:1015168000336</w:t>
        </w:r>
      </w:hyperlink>
      <w:r w:rsidRPr="000C44BA">
        <w:t>.</w:t>
      </w:r>
    </w:p>
  </w:footnote>
  <w:footnote w:id="8">
    <w:p w14:paraId="237EDFDA" w14:textId="77777777" w:rsidR="00E828B7" w:rsidRPr="000C44BA" w:rsidRDefault="00E828B7">
      <w:pPr>
        <w:pStyle w:val="FootnoteText"/>
      </w:pPr>
      <w:r w:rsidRPr="000C44BA">
        <w:rPr>
          <w:rStyle w:val="FootnoteReference"/>
        </w:rPr>
        <w:footnoteRef/>
      </w:r>
      <w:r w:rsidRPr="000C44BA">
        <w:t xml:space="preserve"> Keefer, Phillip, Knack, Stephen, 2002, “Polarization”</w:t>
      </w:r>
    </w:p>
  </w:footnote>
  <w:footnote w:id="9">
    <w:p w14:paraId="555E78F9" w14:textId="77777777" w:rsidR="00E828B7" w:rsidRPr="000514FE" w:rsidRDefault="00E828B7" w:rsidP="00B26F7E">
      <w:pPr>
        <w:pStyle w:val="FootnoteText"/>
      </w:pPr>
      <w:r>
        <w:rPr>
          <w:rStyle w:val="FootnoteReference"/>
        </w:rPr>
        <w:footnoteRef/>
      </w:r>
      <w:r>
        <w:t xml:space="preserve"> </w:t>
      </w:r>
      <w:r w:rsidRPr="00837E5B">
        <w:rPr>
          <w:color w:val="000000" w:themeColor="text1"/>
        </w:rPr>
        <w:t>Gómez, Paz</w:t>
      </w:r>
      <w:r>
        <w:rPr>
          <w:color w:val="000000" w:themeColor="text1"/>
        </w:rPr>
        <w:t xml:space="preserve">, </w:t>
      </w:r>
      <w:r w:rsidRPr="00837E5B">
        <w:rPr>
          <w:color w:val="000000" w:themeColor="text1"/>
        </w:rPr>
        <w:t>2018</w:t>
      </w:r>
      <w:r>
        <w:rPr>
          <w:color w:val="000000" w:themeColor="text1"/>
        </w:rPr>
        <w:t>,</w:t>
      </w:r>
      <w:r w:rsidRPr="00837E5B">
        <w:rPr>
          <w:color w:val="000000" w:themeColor="text1"/>
        </w:rPr>
        <w:t xml:space="preserve"> </w:t>
      </w:r>
      <w:r>
        <w:rPr>
          <w:color w:val="000000" w:themeColor="text1"/>
        </w:rPr>
        <w:t>“</w:t>
      </w:r>
      <w:r w:rsidRPr="001A7CB2">
        <w:rPr>
          <w:color w:val="000000" w:themeColor="text1"/>
        </w:rPr>
        <w:t>Latin-American Nations Fall Behind for Property Rights</w:t>
      </w:r>
      <w:r>
        <w:rPr>
          <w:color w:val="000000" w:themeColor="text1"/>
        </w:rPr>
        <w:t xml:space="preserve">,” </w:t>
      </w:r>
      <w:r w:rsidRPr="00AA6646">
        <w:rPr>
          <w:color w:val="000000" w:themeColor="text1"/>
        </w:rPr>
        <w:t xml:space="preserve">Econ Americas. </w:t>
      </w:r>
      <w:r w:rsidRPr="000514FE">
        <w:rPr>
          <w:color w:val="000000" w:themeColor="text1"/>
        </w:rPr>
        <w:t xml:space="preserve">Available at </w:t>
      </w:r>
      <w:hyperlink r:id="rId7" w:history="1">
        <w:r w:rsidRPr="000514FE">
          <w:rPr>
            <w:rStyle w:val="Hyperlink"/>
          </w:rPr>
          <w:t>https://econamericas.com/2018/08/latin-america-property-rights-fall-behind/</w:t>
        </w:r>
      </w:hyperlink>
      <w:r w:rsidRPr="000514FE">
        <w:rPr>
          <w:color w:val="000000" w:themeColor="text1"/>
        </w:rPr>
        <w:t>.</w:t>
      </w:r>
    </w:p>
  </w:footnote>
  <w:footnote w:id="10">
    <w:p w14:paraId="2453CCF0" w14:textId="77777777" w:rsidR="00E828B7" w:rsidRDefault="00E828B7">
      <w:pPr>
        <w:pStyle w:val="FootnoteText"/>
      </w:pPr>
      <w:r>
        <w:rPr>
          <w:rStyle w:val="FootnoteReference"/>
        </w:rPr>
        <w:footnoteRef/>
      </w:r>
      <w:r>
        <w:t xml:space="preserve"> </w:t>
      </w:r>
      <w:r>
        <w:rPr>
          <w:color w:val="000000" w:themeColor="text1"/>
        </w:rPr>
        <w:t>Ibid.</w:t>
      </w:r>
    </w:p>
  </w:footnote>
  <w:footnote w:id="11">
    <w:p w14:paraId="3DE9DCEB" w14:textId="77777777" w:rsidR="00E828B7" w:rsidRDefault="00E828B7" w:rsidP="00B26F7E">
      <w:pPr>
        <w:pStyle w:val="FootnoteText"/>
      </w:pPr>
      <w:r>
        <w:rPr>
          <w:rStyle w:val="FootnoteReference"/>
        </w:rPr>
        <w:footnoteRef/>
      </w:r>
      <w:r w:rsidRPr="00AA6646">
        <w:t xml:space="preserve"> </w:t>
      </w:r>
      <w:r>
        <w:rPr>
          <w:color w:val="000000" w:themeColor="text1"/>
        </w:rPr>
        <w:t>Ibid.</w:t>
      </w:r>
    </w:p>
  </w:footnote>
  <w:footnote w:id="12">
    <w:p w14:paraId="4FCCF305" w14:textId="77777777" w:rsidR="00E828B7" w:rsidRDefault="00E828B7">
      <w:pPr>
        <w:pStyle w:val="FootnoteText"/>
      </w:pPr>
      <w:r>
        <w:rPr>
          <w:rStyle w:val="FootnoteReference"/>
        </w:rPr>
        <w:footnoteRef/>
      </w:r>
      <w:r>
        <w:t xml:space="preserve"> “</w:t>
      </w:r>
      <w:r>
        <w:rPr>
          <w:i/>
        </w:rPr>
        <w:t xml:space="preserve">Doing Business </w:t>
      </w:r>
      <w:r>
        <w:t xml:space="preserve">Data,” data from World Bank, Available at </w:t>
      </w:r>
      <w:hyperlink r:id="rId8" w:history="1">
        <w:r w:rsidRPr="0017552F">
          <w:rPr>
            <w:rStyle w:val="Hyperlink"/>
          </w:rPr>
          <w:t>https://www.doingbusiness.org/en/data</w:t>
        </w:r>
      </w:hyperlink>
      <w:r>
        <w:t xml:space="preserve">. </w:t>
      </w:r>
    </w:p>
  </w:footnote>
  <w:footnote w:id="13">
    <w:p w14:paraId="0493E3E2" w14:textId="77777777" w:rsidR="00E828B7" w:rsidRPr="000C44BA" w:rsidRDefault="00E828B7" w:rsidP="000C44BA">
      <w:r w:rsidRPr="000C44BA">
        <w:rPr>
          <w:rStyle w:val="FootnoteReference"/>
          <w:sz w:val="20"/>
          <w:szCs w:val="20"/>
        </w:rPr>
        <w:footnoteRef/>
      </w:r>
      <w:r w:rsidRPr="000C44BA">
        <w:rPr>
          <w:sz w:val="20"/>
          <w:szCs w:val="20"/>
        </w:rPr>
        <w:t xml:space="preserve"> Acharya Vijeth, Ramaprasad Arkalgud, Vasudevan Shraddha, 2018, “eLand Governance in India: Transcending Digitization,” In: Parycek P. et al. (eds) </w:t>
      </w:r>
      <w:r w:rsidRPr="000C44BA">
        <w:rPr>
          <w:i/>
          <w:sz w:val="20"/>
          <w:szCs w:val="20"/>
        </w:rPr>
        <w:t>Electronic Government</w:t>
      </w:r>
      <w:r w:rsidRPr="000C44BA">
        <w:rPr>
          <w:sz w:val="20"/>
          <w:szCs w:val="20"/>
        </w:rPr>
        <w:t xml:space="preserve">, EGOV 2018, Lecture Notes in Computer Science, Vol. 11020. Springer, Cham. Available at </w:t>
      </w:r>
      <w:hyperlink r:id="rId9" w:history="1">
        <w:r w:rsidRPr="000C44BA">
          <w:rPr>
            <w:rStyle w:val="Hyperlink"/>
            <w:sz w:val="20"/>
            <w:szCs w:val="20"/>
          </w:rPr>
          <w:t>https://doi.org/10.1007/978-3-319-98690-6_7</w:t>
        </w:r>
      </w:hyperlink>
      <w:r w:rsidRPr="000C44BA">
        <w:rPr>
          <w:sz w:val="20"/>
          <w:szCs w:val="20"/>
        </w:rPr>
        <w:t>.</w:t>
      </w:r>
    </w:p>
  </w:footnote>
  <w:footnote w:id="14">
    <w:p w14:paraId="3899F925" w14:textId="77777777" w:rsidR="00E828B7" w:rsidRDefault="00E828B7">
      <w:pPr>
        <w:pStyle w:val="FootnoteText"/>
      </w:pPr>
      <w:r>
        <w:rPr>
          <w:rStyle w:val="FootnoteReference"/>
        </w:rPr>
        <w:footnoteRef/>
      </w:r>
      <w:r>
        <w:t xml:space="preserve"> </w:t>
      </w:r>
      <w:r w:rsidRPr="00572805">
        <w:t xml:space="preserve">Hernando de Soto, </w:t>
      </w:r>
      <w:r w:rsidRPr="00572805">
        <w:rPr>
          <w:i/>
        </w:rPr>
        <w:t xml:space="preserve">The Other Path: The Economic Answer to Terrorism </w:t>
      </w:r>
      <w:r w:rsidRPr="00572805">
        <w:t>(New York: Basic Books, 1989).</w:t>
      </w:r>
    </w:p>
  </w:footnote>
  <w:footnote w:id="15">
    <w:p w14:paraId="05F7C215" w14:textId="77777777" w:rsidR="00E828B7" w:rsidRDefault="00E828B7" w:rsidP="00913A06">
      <w:pPr>
        <w:pStyle w:val="FootnoteText"/>
      </w:pPr>
      <w:r>
        <w:rPr>
          <w:rStyle w:val="FootnoteReference"/>
        </w:rPr>
        <w:footnoteRef/>
      </w:r>
      <w:r>
        <w:t xml:space="preserve"> </w:t>
      </w:r>
      <w:r w:rsidRPr="00572805">
        <w:t xml:space="preserve">Hernando de Soto, </w:t>
      </w:r>
      <w:r w:rsidRPr="00572805">
        <w:rPr>
          <w:bCs/>
          <w:i/>
        </w:rPr>
        <w:t>The Mystery of Capital:</w:t>
      </w:r>
      <w:r w:rsidRPr="00572805">
        <w:rPr>
          <w:b/>
          <w:bCs/>
          <w:i/>
        </w:rPr>
        <w:t xml:space="preserve"> </w:t>
      </w:r>
      <w:r w:rsidRPr="00572805">
        <w:rPr>
          <w:i/>
        </w:rPr>
        <w:t xml:space="preserve">Why Capitalism Triumphs in the West and Fails Everywhere Else </w:t>
      </w:r>
      <w:r w:rsidRPr="00572805">
        <w:t>(New York: Basic Books, 2001).</w:t>
      </w:r>
    </w:p>
  </w:footnote>
  <w:footnote w:id="16">
    <w:p w14:paraId="0CDD579B" w14:textId="77777777" w:rsidR="00E828B7" w:rsidRPr="001A7CB2" w:rsidRDefault="00E828B7" w:rsidP="00913A06">
      <w:pPr>
        <w:pStyle w:val="FootnoteText"/>
        <w:rPr>
          <w:b/>
          <w:bCs/>
        </w:rPr>
      </w:pPr>
      <w:r>
        <w:rPr>
          <w:rStyle w:val="FootnoteReference"/>
        </w:rPr>
        <w:footnoteRef/>
      </w:r>
      <w:r>
        <w:t xml:space="preserve"> </w:t>
      </w:r>
      <w:r w:rsidRPr="001A7CB2">
        <w:t xml:space="preserve">Fernandes, Edesio, 2002, “The Influence of de Soto’s “The Mystery of Capital”,” </w:t>
      </w:r>
      <w:r w:rsidRPr="001A7CB2">
        <w:rPr>
          <w:i/>
        </w:rPr>
        <w:t xml:space="preserve">Land Lines, </w:t>
      </w:r>
      <w:r w:rsidRPr="001A7CB2">
        <w:t xml:space="preserve">Jan 2002, Available at </w:t>
      </w:r>
      <w:hyperlink r:id="rId10" w:history="1">
        <w:r w:rsidRPr="001A7CB2">
          <w:rPr>
            <w:rStyle w:val="Hyperlink"/>
          </w:rPr>
          <w:t>https://www.lincolninst.edu/publications/articles/influence-sotos-mystery-capital</w:t>
        </w:r>
      </w:hyperlink>
      <w:r w:rsidRPr="001A7CB2">
        <w:t xml:space="preserve">. </w:t>
      </w:r>
    </w:p>
  </w:footnote>
  <w:footnote w:id="17">
    <w:p w14:paraId="22767CB9" w14:textId="77777777" w:rsidR="00E828B7" w:rsidRPr="00A97896" w:rsidRDefault="00E828B7" w:rsidP="00B83F47">
      <w:pPr>
        <w:pStyle w:val="FootnoteText"/>
      </w:pPr>
      <w:r w:rsidRPr="00A97896">
        <w:rPr>
          <w:rStyle w:val="FootnoteReference"/>
        </w:rPr>
        <w:footnoteRef/>
      </w:r>
      <w:r w:rsidRPr="00A97896">
        <w:t xml:space="preserve"> Daley, Elizabeth and Hobley, Mary, 2005, </w:t>
      </w:r>
      <w:r w:rsidRPr="00A97896">
        <w:rPr>
          <w:i/>
        </w:rPr>
        <w:t>Land: Changing Contexts, Changing Relationships, Changing Rights,</w:t>
      </w:r>
      <w:r w:rsidRPr="00A97896">
        <w:t xml:space="preserve"> DFID, Available at </w:t>
      </w:r>
      <w:hyperlink r:id="rId11" w:history="1">
        <w:r w:rsidRPr="00A97896">
          <w:rPr>
            <w:rStyle w:val="Hyperlink"/>
          </w:rPr>
          <w:t>https://sarpn.org/documents/d0001801/Land_changing_Sept2005.pdf</w:t>
        </w:r>
      </w:hyperlink>
      <w:r w:rsidRPr="00A97896">
        <w:t xml:space="preserve">. </w:t>
      </w:r>
    </w:p>
  </w:footnote>
  <w:footnote w:id="18">
    <w:p w14:paraId="369B8D84" w14:textId="77777777" w:rsidR="00E828B7" w:rsidRPr="00AA6646" w:rsidRDefault="00E828B7" w:rsidP="00B24511">
      <w:pPr>
        <w:rPr>
          <w:color w:val="000000" w:themeColor="text1"/>
          <w:sz w:val="20"/>
          <w:szCs w:val="20"/>
        </w:rPr>
      </w:pPr>
      <w:r w:rsidRPr="00AA6646">
        <w:rPr>
          <w:rStyle w:val="FootnoteReference"/>
          <w:sz w:val="20"/>
          <w:szCs w:val="20"/>
        </w:rPr>
        <w:footnoteRef/>
      </w:r>
      <w:r w:rsidRPr="00AA6646">
        <w:rPr>
          <w:sz w:val="20"/>
          <w:szCs w:val="20"/>
        </w:rPr>
        <w:t xml:space="preserve"> </w:t>
      </w:r>
      <w:r w:rsidRPr="0088286B">
        <w:rPr>
          <w:color w:val="000000" w:themeColor="text1"/>
          <w:sz w:val="20"/>
          <w:szCs w:val="20"/>
          <w:shd w:val="clear" w:color="auto" w:fill="FFFFFF"/>
        </w:rPr>
        <w:t>Goldfinch, Shaun, 2015, “Property Rights</w:t>
      </w:r>
      <w:r>
        <w:rPr>
          <w:color w:val="000000" w:themeColor="text1"/>
          <w:sz w:val="20"/>
          <w:szCs w:val="20"/>
          <w:shd w:val="clear" w:color="auto" w:fill="FFFFFF"/>
        </w:rPr>
        <w:t>”</w:t>
      </w:r>
    </w:p>
  </w:footnote>
  <w:footnote w:id="19">
    <w:p w14:paraId="0890BF4C" w14:textId="77777777" w:rsidR="00E828B7" w:rsidRPr="001B7165" w:rsidRDefault="00E828B7" w:rsidP="004F2C55">
      <w:pPr>
        <w:pStyle w:val="FootnoteText"/>
      </w:pPr>
      <w:r w:rsidRPr="001B7165">
        <w:rPr>
          <w:rStyle w:val="FootnoteReference"/>
        </w:rPr>
        <w:footnoteRef/>
      </w:r>
      <w:r w:rsidRPr="001B7165">
        <w:t xml:space="preserve"> de Soto, Hernando, 2001, “The Mystery of Capital,” </w:t>
      </w:r>
      <w:r w:rsidRPr="001B7165">
        <w:rPr>
          <w:i/>
        </w:rPr>
        <w:t>Finance and Development</w:t>
      </w:r>
      <w:r w:rsidRPr="001B7165">
        <w:t xml:space="preserve">, Vol., No.1. IMF. Available at </w:t>
      </w:r>
      <w:hyperlink r:id="rId12" w:history="1">
        <w:r w:rsidRPr="001B7165">
          <w:rPr>
            <w:rStyle w:val="Hyperlink"/>
          </w:rPr>
          <w:t>http://www.imf.org/external/pubs/ft/fandd/2001/03/desoto.htm</w:t>
        </w:r>
      </w:hyperlink>
      <w:r w:rsidRPr="001B7165">
        <w:t xml:space="preserve">. </w:t>
      </w:r>
    </w:p>
  </w:footnote>
  <w:footnote w:id="20">
    <w:p w14:paraId="34077EE2" w14:textId="77777777" w:rsidR="00E828B7" w:rsidRPr="001B7165" w:rsidRDefault="00E828B7">
      <w:pPr>
        <w:pStyle w:val="FootnoteText"/>
      </w:pPr>
      <w:r w:rsidRPr="001B7165">
        <w:rPr>
          <w:rStyle w:val="FootnoteReference"/>
        </w:rPr>
        <w:footnoteRef/>
      </w:r>
      <w:r w:rsidRPr="001B7165">
        <w:t xml:space="preserve"> Ibid.</w:t>
      </w:r>
    </w:p>
  </w:footnote>
  <w:footnote w:id="21">
    <w:p w14:paraId="1E9B6764" w14:textId="77777777" w:rsidR="00E828B7" w:rsidRPr="001B7165" w:rsidRDefault="00E828B7">
      <w:pPr>
        <w:pStyle w:val="FootnoteText"/>
      </w:pPr>
      <w:r w:rsidRPr="001B7165">
        <w:rPr>
          <w:rStyle w:val="FootnoteReference"/>
        </w:rPr>
        <w:footnoteRef/>
      </w:r>
      <w:r w:rsidRPr="001B7165">
        <w:t xml:space="preserve"> Ibid.</w:t>
      </w:r>
    </w:p>
  </w:footnote>
  <w:footnote w:id="22">
    <w:p w14:paraId="3E65D64A" w14:textId="0FF524C3" w:rsidR="00E828B7" w:rsidRDefault="00E828B7">
      <w:pPr>
        <w:pStyle w:val="FootnoteText"/>
      </w:pPr>
      <w:r>
        <w:rPr>
          <w:rStyle w:val="FootnoteReference"/>
        </w:rPr>
        <w:footnoteRef/>
      </w:r>
      <w:r>
        <w:t xml:space="preserve"> </w:t>
      </w:r>
      <w:r w:rsidRPr="000B0420">
        <w:rPr>
          <w:bCs/>
        </w:rPr>
        <w:t>Field, Erica, and Torero, Maximo</w:t>
      </w:r>
      <w:r>
        <w:rPr>
          <w:bCs/>
        </w:rPr>
        <w:t xml:space="preserve">, </w:t>
      </w:r>
      <w:r w:rsidRPr="000B0420">
        <w:rPr>
          <w:bCs/>
        </w:rPr>
        <w:t>2006</w:t>
      </w:r>
      <w:r>
        <w:rPr>
          <w:bCs/>
        </w:rPr>
        <w:t>,</w:t>
      </w:r>
      <w:r w:rsidRPr="000B0420">
        <w:rPr>
          <w:bCs/>
        </w:rPr>
        <w:t xml:space="preserve"> “</w:t>
      </w:r>
      <w:r w:rsidRPr="000B0420">
        <w:t>Do Property Titles Increase Credit Access Among the Urban Poor? Evidence from a Nationwide Titling Program</w:t>
      </w:r>
      <w:r>
        <w:t>,</w:t>
      </w:r>
      <w:r w:rsidRPr="000B0420">
        <w:t xml:space="preserve">” Research Program in Development Studies Working Paper No. 223, Princeton University. Available at </w:t>
      </w:r>
      <w:hyperlink r:id="rId13" w:history="1">
        <w:r w:rsidRPr="000B0420">
          <w:rPr>
            <w:rStyle w:val="Hyperlink"/>
          </w:rPr>
          <w:t>https://scholar.harvard.edu/files/field/files/fieldtorerocs.pdf</w:t>
        </w:r>
      </w:hyperlink>
      <w:r w:rsidRPr="000B0420">
        <w:t xml:space="preserve">. </w:t>
      </w:r>
    </w:p>
  </w:footnote>
  <w:footnote w:id="23">
    <w:p w14:paraId="4ADA1F26" w14:textId="77777777" w:rsidR="00E828B7" w:rsidRPr="00531994" w:rsidRDefault="00E828B7" w:rsidP="004B1EAD">
      <w:pPr>
        <w:pStyle w:val="FootnoteText"/>
      </w:pPr>
      <w:r w:rsidRPr="00A97896">
        <w:rPr>
          <w:rStyle w:val="FootnoteReference"/>
        </w:rPr>
        <w:footnoteRef/>
      </w:r>
      <w:r w:rsidRPr="00A97896">
        <w:t xml:space="preserve"> Latorre, Sergio, 2015, “The Making of Land Ownership: Land Titling in Rural Colombia – A Reply to Hernando De Soto,” </w:t>
      </w:r>
      <w:r w:rsidRPr="00A97896">
        <w:rPr>
          <w:i/>
        </w:rPr>
        <w:t>Third World Quarterly</w:t>
      </w:r>
      <w:r w:rsidRPr="00A97896">
        <w:t xml:space="preserve">, Vol. 36, No. 8, pp. 1546–1569. Available at </w:t>
      </w:r>
      <w:hyperlink r:id="rId14" w:history="1">
        <w:r w:rsidRPr="00A97896">
          <w:rPr>
            <w:rStyle w:val="Hyperlink"/>
          </w:rPr>
          <w:t>http://dx.doi.org/10.1080/01436597.2015.1046984</w:t>
        </w:r>
      </w:hyperlink>
      <w:r w:rsidRPr="00A97896">
        <w:t>.</w:t>
      </w:r>
    </w:p>
  </w:footnote>
  <w:footnote w:id="24">
    <w:p w14:paraId="2CE9DB02" w14:textId="77777777" w:rsidR="00E828B7" w:rsidRPr="001B7165" w:rsidRDefault="00E828B7" w:rsidP="00D545E5">
      <w:pPr>
        <w:rPr>
          <w:color w:val="000000" w:themeColor="text1"/>
          <w:sz w:val="20"/>
          <w:szCs w:val="20"/>
        </w:rPr>
      </w:pPr>
      <w:r w:rsidRPr="001B7165">
        <w:rPr>
          <w:rStyle w:val="FootnoteReference"/>
          <w:sz w:val="20"/>
          <w:szCs w:val="20"/>
        </w:rPr>
        <w:footnoteRef/>
      </w:r>
      <w:r w:rsidRPr="001B7165">
        <w:rPr>
          <w:sz w:val="20"/>
          <w:szCs w:val="20"/>
        </w:rPr>
        <w:t xml:space="preserve"> </w:t>
      </w:r>
      <w:r w:rsidRPr="001B7165">
        <w:rPr>
          <w:rStyle w:val="Hyperlink"/>
          <w:color w:val="000000" w:themeColor="text1"/>
          <w:sz w:val="20"/>
          <w:szCs w:val="20"/>
          <w:u w:val="none"/>
        </w:rPr>
        <w:t xml:space="preserve">Bourbeau, Heather, 2009, “Property Wrongs: How Weak Ideas Gain Strong Appeal in the World of Development Economics,” </w:t>
      </w:r>
      <w:r w:rsidRPr="001B7165">
        <w:rPr>
          <w:rStyle w:val="Hyperlink"/>
          <w:i/>
          <w:color w:val="000000" w:themeColor="text1"/>
          <w:sz w:val="20"/>
          <w:szCs w:val="20"/>
          <w:u w:val="none"/>
        </w:rPr>
        <w:t>Foreign Policy Magazine</w:t>
      </w:r>
      <w:r w:rsidRPr="001B7165">
        <w:rPr>
          <w:rStyle w:val="Hyperlink"/>
          <w:color w:val="000000" w:themeColor="text1"/>
          <w:sz w:val="20"/>
          <w:szCs w:val="20"/>
          <w:u w:val="none"/>
        </w:rPr>
        <w:t>, Available at</w:t>
      </w:r>
      <w:r w:rsidRPr="001B7165">
        <w:rPr>
          <w:rStyle w:val="Hyperlink"/>
          <w:color w:val="000000" w:themeColor="text1"/>
          <w:sz w:val="20"/>
          <w:szCs w:val="20"/>
        </w:rPr>
        <w:t xml:space="preserve"> </w:t>
      </w:r>
      <w:hyperlink r:id="rId15" w:history="1">
        <w:r w:rsidRPr="001B7165">
          <w:rPr>
            <w:rStyle w:val="Hyperlink"/>
            <w:sz w:val="20"/>
            <w:szCs w:val="20"/>
          </w:rPr>
          <w:t>https://foreignpolicy.com/2009/11/17/property-wrongs/</w:t>
        </w:r>
      </w:hyperlink>
      <w:r w:rsidRPr="001B7165">
        <w:rPr>
          <w:rStyle w:val="Hyperlink"/>
          <w:color w:val="000000" w:themeColor="text1"/>
          <w:sz w:val="20"/>
          <w:szCs w:val="20"/>
        </w:rPr>
        <w:t xml:space="preserve">. </w:t>
      </w:r>
    </w:p>
  </w:footnote>
  <w:footnote w:id="25">
    <w:p w14:paraId="2283AC47" w14:textId="77777777" w:rsidR="00E828B7" w:rsidRDefault="00E828B7">
      <w:pPr>
        <w:pStyle w:val="FootnoteText"/>
      </w:pPr>
      <w:r w:rsidRPr="001B7165">
        <w:rPr>
          <w:rStyle w:val="FootnoteReference"/>
        </w:rPr>
        <w:footnoteRef/>
      </w:r>
      <w:r w:rsidRPr="001B7165">
        <w:t xml:space="preserve"> Ibid.</w:t>
      </w:r>
      <w:r>
        <w:t xml:space="preserve"> </w:t>
      </w:r>
    </w:p>
  </w:footnote>
  <w:footnote w:id="26">
    <w:p w14:paraId="3074DD63" w14:textId="77777777" w:rsidR="00E828B7" w:rsidRPr="00A01F6F" w:rsidRDefault="00E828B7" w:rsidP="004B1EAD">
      <w:pPr>
        <w:rPr>
          <w:color w:val="000000" w:themeColor="text1"/>
          <w:sz w:val="20"/>
          <w:szCs w:val="20"/>
        </w:rPr>
      </w:pPr>
      <w:r w:rsidRPr="00A01F6F">
        <w:rPr>
          <w:rStyle w:val="FootnoteReference"/>
          <w:sz w:val="20"/>
          <w:szCs w:val="20"/>
        </w:rPr>
        <w:footnoteRef/>
      </w:r>
      <w:r w:rsidRPr="00A01F6F">
        <w:rPr>
          <w:sz w:val="20"/>
          <w:szCs w:val="20"/>
        </w:rPr>
        <w:t xml:space="preserve"> </w:t>
      </w:r>
      <w:r w:rsidRPr="00A01F6F">
        <w:rPr>
          <w:color w:val="000000" w:themeColor="text1"/>
          <w:sz w:val="20"/>
          <w:szCs w:val="20"/>
          <w:shd w:val="clear" w:color="auto" w:fill="FFFFFF"/>
        </w:rPr>
        <w:t>Goldfinch, Shaun, 2015, “Property Rights</w:t>
      </w:r>
      <w:r>
        <w:rPr>
          <w:color w:val="000000" w:themeColor="text1"/>
          <w:sz w:val="20"/>
          <w:szCs w:val="20"/>
          <w:shd w:val="clear" w:color="auto" w:fill="FFFFFF"/>
        </w:rPr>
        <w:t>”</w:t>
      </w:r>
    </w:p>
  </w:footnote>
  <w:footnote w:id="27">
    <w:p w14:paraId="0E5DDE48" w14:textId="77777777" w:rsidR="00E828B7" w:rsidRPr="00A01F6F" w:rsidRDefault="00E828B7">
      <w:pPr>
        <w:pStyle w:val="FootnoteText"/>
      </w:pPr>
      <w:r w:rsidRPr="00A01F6F">
        <w:rPr>
          <w:rStyle w:val="FootnoteReference"/>
        </w:rPr>
        <w:footnoteRef/>
      </w:r>
      <w:r w:rsidRPr="00A01F6F">
        <w:t xml:space="preserve"> Ibid.</w:t>
      </w:r>
    </w:p>
  </w:footnote>
  <w:footnote w:id="28">
    <w:p w14:paraId="4225364A" w14:textId="77777777" w:rsidR="00E828B7" w:rsidRPr="00A01F6F" w:rsidRDefault="00E828B7">
      <w:pPr>
        <w:pStyle w:val="FootnoteText"/>
      </w:pPr>
      <w:r w:rsidRPr="00A01F6F">
        <w:rPr>
          <w:rStyle w:val="FootnoteReference"/>
        </w:rPr>
        <w:footnoteRef/>
      </w:r>
      <w:r w:rsidRPr="00A01F6F">
        <w:t xml:space="preserve"> Ibid. </w:t>
      </w:r>
    </w:p>
  </w:footnote>
  <w:footnote w:id="29">
    <w:p w14:paraId="28A08F53" w14:textId="77777777" w:rsidR="00E828B7" w:rsidRPr="00FA0F64" w:rsidRDefault="00E828B7" w:rsidP="009F63D3">
      <w:pPr>
        <w:rPr>
          <w:iCs/>
          <w:color w:val="000000" w:themeColor="text1"/>
          <w:sz w:val="20"/>
          <w:szCs w:val="20"/>
        </w:rPr>
      </w:pPr>
      <w:r w:rsidRPr="0098186C">
        <w:rPr>
          <w:rStyle w:val="FootnoteReference"/>
          <w:sz w:val="20"/>
          <w:szCs w:val="20"/>
        </w:rPr>
        <w:footnoteRef/>
      </w:r>
      <w:r w:rsidRPr="0098186C">
        <w:rPr>
          <w:sz w:val="20"/>
          <w:szCs w:val="20"/>
        </w:rPr>
        <w:t xml:space="preserve"> </w:t>
      </w:r>
      <w:r w:rsidRPr="0098186C">
        <w:rPr>
          <w:iCs/>
          <w:color w:val="000000" w:themeColor="text1"/>
          <w:sz w:val="20"/>
          <w:szCs w:val="20"/>
        </w:rPr>
        <w:t>Hilhorst, Thea, and Meunier, Frederic</w:t>
      </w:r>
      <w:r>
        <w:rPr>
          <w:iCs/>
          <w:color w:val="000000" w:themeColor="text1"/>
          <w:sz w:val="20"/>
          <w:szCs w:val="20"/>
        </w:rPr>
        <w:t xml:space="preserve">, </w:t>
      </w:r>
      <w:r w:rsidRPr="0098186C">
        <w:rPr>
          <w:iCs/>
          <w:color w:val="000000" w:themeColor="text1"/>
          <w:sz w:val="20"/>
          <w:szCs w:val="20"/>
        </w:rPr>
        <w:t>2015</w:t>
      </w:r>
      <w:r>
        <w:rPr>
          <w:i/>
          <w:iCs/>
          <w:color w:val="000000" w:themeColor="text1"/>
          <w:sz w:val="20"/>
          <w:szCs w:val="20"/>
        </w:rPr>
        <w:t>,</w:t>
      </w:r>
      <w:r w:rsidRPr="0098186C">
        <w:rPr>
          <w:i/>
          <w:iCs/>
          <w:color w:val="000000" w:themeColor="text1"/>
          <w:sz w:val="20"/>
          <w:szCs w:val="20"/>
        </w:rPr>
        <w:t> </w:t>
      </w:r>
      <w:r>
        <w:rPr>
          <w:i/>
          <w:iCs/>
          <w:color w:val="000000" w:themeColor="text1"/>
          <w:sz w:val="20"/>
          <w:szCs w:val="20"/>
        </w:rPr>
        <w:t>“</w:t>
      </w:r>
      <w:r w:rsidRPr="0098186C">
        <w:rPr>
          <w:i/>
          <w:iCs/>
          <w:color w:val="000000" w:themeColor="text1"/>
          <w:sz w:val="20"/>
          <w:szCs w:val="20"/>
        </w:rPr>
        <w:t>How Innovations</w:t>
      </w:r>
      <w:r>
        <w:rPr>
          <w:i/>
          <w:iCs/>
          <w:color w:val="000000" w:themeColor="text1"/>
          <w:sz w:val="20"/>
          <w:szCs w:val="20"/>
        </w:rPr>
        <w:t>”</w:t>
      </w:r>
    </w:p>
  </w:footnote>
  <w:footnote w:id="30">
    <w:p w14:paraId="32A71FD8" w14:textId="77777777" w:rsidR="00E828B7" w:rsidRPr="00F27C5D" w:rsidRDefault="00E828B7" w:rsidP="00DE4C1C">
      <w:pPr>
        <w:pStyle w:val="FootnoteText"/>
      </w:pPr>
      <w:r w:rsidRPr="00F27C5D">
        <w:rPr>
          <w:rStyle w:val="FootnoteReference"/>
        </w:rPr>
        <w:footnoteRef/>
      </w:r>
      <w:r w:rsidRPr="00F27C5D">
        <w:t xml:space="preserve"> Djankov, Simeon, McLiesh</w:t>
      </w:r>
      <w:r>
        <w:t xml:space="preserve">, </w:t>
      </w:r>
      <w:r w:rsidRPr="00F27C5D">
        <w:t>Caralee and Shleifer, Andrei</w:t>
      </w:r>
      <w:r>
        <w:t>,</w:t>
      </w:r>
      <w:r w:rsidRPr="00F27C5D">
        <w:t xml:space="preserve"> 2007, </w:t>
      </w:r>
      <w:r>
        <w:t>“</w:t>
      </w:r>
      <w:r w:rsidRPr="00F27C5D">
        <w:t>Private Credit in 129 Countries</w:t>
      </w:r>
      <w:r>
        <w:t>,”</w:t>
      </w:r>
      <w:r w:rsidRPr="00F27C5D">
        <w:t xml:space="preserve"> Journal of Financial Economics, </w:t>
      </w:r>
      <w:r>
        <w:t xml:space="preserve">Vol. </w:t>
      </w:r>
      <w:r w:rsidRPr="00F27C5D">
        <w:t>84</w:t>
      </w:r>
      <w:r>
        <w:t xml:space="preserve">, No. </w:t>
      </w:r>
      <w:r w:rsidRPr="00F27C5D">
        <w:t>2, 299- 329.</w:t>
      </w:r>
      <w:r>
        <w:t xml:space="preserve"> Available at </w:t>
      </w:r>
      <w:hyperlink r:id="rId16" w:history="1">
        <w:r w:rsidRPr="0017552F">
          <w:rPr>
            <w:rStyle w:val="Hyperlink"/>
          </w:rPr>
          <w:t>https://www-sciencedirect-com.ezaccess.libraries.psu.edu/science/article/pii/S0304405X06002170?via%3Dihub</w:t>
        </w:r>
      </w:hyperlink>
      <w:r>
        <w:t xml:space="preserve">. </w:t>
      </w:r>
    </w:p>
  </w:footnote>
  <w:footnote w:id="31">
    <w:p w14:paraId="507D8041" w14:textId="77777777" w:rsidR="00E828B7" w:rsidRPr="00F27C5D" w:rsidRDefault="00E828B7" w:rsidP="00DE4C1C">
      <w:pPr>
        <w:pStyle w:val="FootnoteText"/>
      </w:pPr>
      <w:r w:rsidRPr="00F27C5D">
        <w:rPr>
          <w:rStyle w:val="FootnoteReference"/>
        </w:rPr>
        <w:footnoteRef/>
      </w:r>
      <w:r w:rsidRPr="00F27C5D">
        <w:t xml:space="preserve"> Besley, Timothy, and Ghatak, Maitreesh, 2009, “The De Soto Effect”</w:t>
      </w:r>
    </w:p>
  </w:footnote>
  <w:footnote w:id="32">
    <w:p w14:paraId="79AE0ED5" w14:textId="77777777" w:rsidR="00E828B7" w:rsidRDefault="00E828B7" w:rsidP="009F63D3">
      <w:pPr>
        <w:pStyle w:val="FootnoteText"/>
      </w:pPr>
      <w:r>
        <w:rPr>
          <w:rStyle w:val="FootnoteReference"/>
        </w:rPr>
        <w:footnoteRef/>
      </w:r>
      <w:r>
        <w:t xml:space="preserve"> Ibid. </w:t>
      </w:r>
    </w:p>
  </w:footnote>
  <w:footnote w:id="33">
    <w:p w14:paraId="257BFDB0" w14:textId="77777777" w:rsidR="00E828B7" w:rsidRPr="00F27C5D" w:rsidRDefault="00E828B7" w:rsidP="009F63D3">
      <w:pPr>
        <w:pStyle w:val="FootnoteText"/>
      </w:pPr>
      <w:r w:rsidRPr="00F27C5D">
        <w:rPr>
          <w:rStyle w:val="FootnoteReference"/>
        </w:rPr>
        <w:footnoteRef/>
      </w:r>
      <w:r w:rsidRPr="00F27C5D">
        <w:t xml:space="preserve"> Keefer, Phillip, Knack, Stephen, 2002, “Polarization, Politics and Property Rights: Links Between Inequality and Growth,” </w:t>
      </w:r>
      <w:r w:rsidRPr="00F27C5D">
        <w:rPr>
          <w:i/>
          <w:iCs/>
        </w:rPr>
        <w:t>Public Choice</w:t>
      </w:r>
      <w:r w:rsidRPr="00F27C5D">
        <w:t> </w:t>
      </w:r>
      <w:r w:rsidRPr="00F27C5D">
        <w:rPr>
          <w:bCs/>
        </w:rPr>
        <w:t>111</w:t>
      </w:r>
      <w:r w:rsidRPr="00F27C5D">
        <w:rPr>
          <w:b/>
          <w:bCs/>
        </w:rPr>
        <w:t>, </w:t>
      </w:r>
      <w:r w:rsidRPr="00F27C5D">
        <w:rPr>
          <w:bCs/>
        </w:rPr>
        <w:t xml:space="preserve">pp. </w:t>
      </w:r>
      <w:r w:rsidRPr="00F27C5D">
        <w:t xml:space="preserve">127–154. Available at </w:t>
      </w:r>
      <w:hyperlink r:id="rId17" w:history="1">
        <w:r w:rsidRPr="00F27C5D">
          <w:rPr>
            <w:rStyle w:val="Hyperlink"/>
          </w:rPr>
          <w:t>https://doi.org/10.1023/A:1015168000336</w:t>
        </w:r>
      </w:hyperlink>
      <w:r w:rsidRPr="00F27C5D">
        <w:t>.</w:t>
      </w:r>
    </w:p>
  </w:footnote>
  <w:footnote w:id="34">
    <w:p w14:paraId="20C0099A" w14:textId="77777777" w:rsidR="00E828B7" w:rsidRPr="00F27C5D" w:rsidRDefault="00E828B7" w:rsidP="00DE4C1C">
      <w:pPr>
        <w:pStyle w:val="FootnoteText"/>
      </w:pPr>
      <w:r w:rsidRPr="00F27C5D">
        <w:rPr>
          <w:rStyle w:val="FootnoteReference"/>
        </w:rPr>
        <w:footnoteRef/>
      </w:r>
      <w:r w:rsidRPr="00F27C5D">
        <w:t xml:space="preserve"> </w:t>
      </w:r>
      <w:r>
        <w:t>Ibid.</w:t>
      </w:r>
    </w:p>
  </w:footnote>
  <w:footnote w:id="35">
    <w:p w14:paraId="023D296C" w14:textId="77777777" w:rsidR="00E828B7" w:rsidRPr="0098186C" w:rsidRDefault="00E828B7" w:rsidP="00DE4C1C">
      <w:pPr>
        <w:pStyle w:val="FootnoteText"/>
      </w:pPr>
      <w:r w:rsidRPr="0098186C">
        <w:rPr>
          <w:rStyle w:val="FootnoteReference"/>
        </w:rPr>
        <w:footnoteRef/>
      </w:r>
      <w:r w:rsidRPr="0098186C">
        <w:t xml:space="preserve"> </w:t>
      </w:r>
      <w:r w:rsidRPr="00F27C5D">
        <w:t>Besley, Timothy, and Ghatak, Maitreesh, 2009, “The De Soto Effect”</w:t>
      </w:r>
    </w:p>
  </w:footnote>
  <w:footnote w:id="36">
    <w:p w14:paraId="7F6ACADB" w14:textId="77777777" w:rsidR="00E828B7" w:rsidRPr="00F27C5D" w:rsidRDefault="00E828B7" w:rsidP="009F63D3">
      <w:pPr>
        <w:pStyle w:val="FootnoteText"/>
      </w:pPr>
      <w:r w:rsidRPr="00F27C5D">
        <w:rPr>
          <w:rStyle w:val="FootnoteReference"/>
        </w:rPr>
        <w:footnoteRef/>
      </w:r>
      <w:r w:rsidRPr="00F27C5D">
        <w:t xml:space="preserve"> Besley, Timothy, and Ghatak, Maitreesh, 2009, “The De Soto Effect”</w:t>
      </w:r>
    </w:p>
  </w:footnote>
  <w:footnote w:id="37">
    <w:p w14:paraId="3EF51D5C" w14:textId="77777777" w:rsidR="00E828B7" w:rsidRDefault="00E828B7">
      <w:pPr>
        <w:pStyle w:val="FootnoteText"/>
      </w:pPr>
      <w:r>
        <w:rPr>
          <w:rStyle w:val="FootnoteReference"/>
        </w:rPr>
        <w:footnoteRef/>
      </w:r>
      <w:r>
        <w:t xml:space="preserve"> </w:t>
      </w:r>
      <w:r w:rsidRPr="001D5CF6">
        <w:t>2019. “</w:t>
      </w:r>
      <w:r w:rsidRPr="001D5CF6">
        <w:rPr>
          <w:i/>
        </w:rPr>
        <w:t xml:space="preserve">Doing Business 2020 </w:t>
      </w:r>
      <w:r w:rsidRPr="001D5CF6">
        <w:t xml:space="preserve">Overview.” </w:t>
      </w:r>
      <w:r w:rsidRPr="001D5CF6">
        <w:rPr>
          <w:i/>
        </w:rPr>
        <w:t xml:space="preserve">Doing Business. </w:t>
      </w:r>
      <w:r w:rsidRPr="001D5CF6">
        <w:t xml:space="preserve">World Bank, </w:t>
      </w:r>
      <w:hyperlink r:id="rId18" w:history="1">
        <w:r w:rsidRPr="001D5CF6">
          <w:rPr>
            <w:rStyle w:val="Hyperlink"/>
          </w:rPr>
          <w:t>https://www.doingbusiness.org/en/reports/global-reports/doing-business-2020</w:t>
        </w:r>
      </w:hyperlink>
      <w:r>
        <w:t xml:space="preserve">. </w:t>
      </w:r>
    </w:p>
  </w:footnote>
  <w:footnote w:id="38">
    <w:p w14:paraId="5C742F42" w14:textId="77777777" w:rsidR="00E828B7" w:rsidRDefault="00E828B7" w:rsidP="004B2E19">
      <w:pPr>
        <w:pStyle w:val="FootnoteText"/>
      </w:pPr>
      <w:r>
        <w:rPr>
          <w:rStyle w:val="FootnoteReference"/>
        </w:rPr>
        <w:footnoteRef/>
      </w:r>
      <w:r>
        <w:t xml:space="preserve"> </w:t>
      </w:r>
      <w:r w:rsidRPr="00711430">
        <w:rPr>
          <w:color w:val="000000" w:themeColor="text1"/>
        </w:rPr>
        <w:t xml:space="preserve">“Registering Property methodology,” Available at </w:t>
      </w:r>
      <w:hyperlink r:id="rId19" w:history="1">
        <w:r w:rsidRPr="00711430">
          <w:rPr>
            <w:rStyle w:val="Hyperlink"/>
          </w:rPr>
          <w:t>https://www.doingbusiness.org/en/methodology/registering-property</w:t>
        </w:r>
      </w:hyperlink>
      <w:r w:rsidRPr="00711430">
        <w:rPr>
          <w:color w:val="000000" w:themeColor="text1"/>
        </w:rPr>
        <w:t>.</w:t>
      </w:r>
    </w:p>
  </w:footnote>
  <w:footnote w:id="39">
    <w:p w14:paraId="7045D2D6" w14:textId="77777777" w:rsidR="00E828B7" w:rsidRDefault="00E828B7">
      <w:pPr>
        <w:pStyle w:val="FootnoteText"/>
      </w:pPr>
      <w:r>
        <w:rPr>
          <w:rStyle w:val="FootnoteReference"/>
        </w:rPr>
        <w:footnoteRef/>
      </w:r>
      <w:r>
        <w:t xml:space="preserve"> </w:t>
      </w:r>
      <w:r w:rsidRPr="00DF2B13">
        <w:t xml:space="preserve">FAO, “Tools for Designing, Monitoring and Evaluating Land Administration Programmes in Latin America,” Food and Agriculture Organization of the United Nations, Available at </w:t>
      </w:r>
      <w:hyperlink r:id="rId20" w:history="1">
        <w:r w:rsidRPr="0017552F">
          <w:rPr>
            <w:rStyle w:val="Hyperlink"/>
          </w:rPr>
          <w:t>http://www.fao.org/in-action/herramienta-administracion-tierras/introduction/concept-land-administration/en/</w:t>
        </w:r>
      </w:hyperlink>
      <w:r w:rsidRPr="00DF2B13">
        <w:t>.</w:t>
      </w:r>
      <w:r>
        <w:t xml:space="preserve"> </w:t>
      </w:r>
    </w:p>
  </w:footnote>
  <w:footnote w:id="40">
    <w:p w14:paraId="41B6501B" w14:textId="77777777" w:rsidR="00E828B7" w:rsidRDefault="00E828B7">
      <w:pPr>
        <w:pStyle w:val="FootnoteText"/>
      </w:pPr>
      <w:r>
        <w:rPr>
          <w:rStyle w:val="FootnoteReference"/>
        </w:rPr>
        <w:footnoteRef/>
      </w:r>
      <w:r>
        <w:t xml:space="preserve"> FAO, </w:t>
      </w:r>
      <w:r w:rsidRPr="00DF2B13">
        <w:t>“Tools for Designing</w:t>
      </w:r>
      <w:r>
        <w:t>”</w:t>
      </w:r>
    </w:p>
  </w:footnote>
  <w:footnote w:id="41">
    <w:p w14:paraId="0A2BF919" w14:textId="77777777" w:rsidR="00E828B7" w:rsidRPr="00E2474B" w:rsidRDefault="00E828B7" w:rsidP="001923AC">
      <w:pPr>
        <w:rPr>
          <w:color w:val="000000" w:themeColor="text1"/>
          <w:sz w:val="20"/>
          <w:szCs w:val="20"/>
        </w:rPr>
      </w:pPr>
      <w:r w:rsidRPr="00711430">
        <w:rPr>
          <w:rStyle w:val="FootnoteReference"/>
          <w:sz w:val="20"/>
          <w:szCs w:val="20"/>
        </w:rPr>
        <w:footnoteRef/>
      </w:r>
      <w:r w:rsidRPr="00711430">
        <w:rPr>
          <w:sz w:val="20"/>
          <w:szCs w:val="20"/>
        </w:rPr>
        <w:t xml:space="preserve"> </w:t>
      </w:r>
      <w:r w:rsidRPr="00711430">
        <w:rPr>
          <w:color w:val="000000" w:themeColor="text1"/>
          <w:sz w:val="20"/>
          <w:szCs w:val="20"/>
        </w:rPr>
        <w:t xml:space="preserve">“Registering Property methodology,” Available at </w:t>
      </w:r>
      <w:hyperlink r:id="rId21" w:history="1">
        <w:r w:rsidRPr="00711430">
          <w:rPr>
            <w:rStyle w:val="Hyperlink"/>
            <w:sz w:val="20"/>
            <w:szCs w:val="20"/>
          </w:rPr>
          <w:t>https://www.doingbusiness.org/en/methodology/registering-property</w:t>
        </w:r>
      </w:hyperlink>
      <w:r w:rsidRPr="00711430">
        <w:rPr>
          <w:color w:val="000000" w:themeColor="text1"/>
          <w:sz w:val="20"/>
          <w:szCs w:val="20"/>
        </w:rPr>
        <w:t xml:space="preserve">. </w:t>
      </w:r>
    </w:p>
  </w:footnote>
  <w:footnote w:id="42">
    <w:p w14:paraId="53FFED07" w14:textId="77777777" w:rsidR="00E828B7" w:rsidRPr="00712CC0" w:rsidRDefault="00E828B7" w:rsidP="00F953EC">
      <w:pPr>
        <w:rPr>
          <w:color w:val="000000" w:themeColor="text1"/>
          <w:sz w:val="20"/>
          <w:szCs w:val="20"/>
        </w:rPr>
      </w:pPr>
      <w:r w:rsidRPr="007013D1">
        <w:rPr>
          <w:rStyle w:val="FootnoteReference"/>
          <w:sz w:val="20"/>
          <w:szCs w:val="20"/>
        </w:rPr>
        <w:footnoteRef/>
      </w:r>
      <w:r w:rsidRPr="007013D1">
        <w:rPr>
          <w:sz w:val="20"/>
          <w:szCs w:val="20"/>
        </w:rPr>
        <w:t xml:space="preserve"> </w:t>
      </w:r>
      <w:r>
        <w:rPr>
          <w:sz w:val="20"/>
          <w:szCs w:val="20"/>
        </w:rPr>
        <w:t>World Bank, 2019, “</w:t>
      </w:r>
      <w:r>
        <w:rPr>
          <w:i/>
          <w:sz w:val="20"/>
          <w:szCs w:val="20"/>
        </w:rPr>
        <w:t xml:space="preserve">Doing Business 2020 </w:t>
      </w:r>
      <w:r>
        <w:rPr>
          <w:sz w:val="20"/>
          <w:szCs w:val="20"/>
        </w:rPr>
        <w:t xml:space="preserve">Overview” </w:t>
      </w:r>
    </w:p>
  </w:footnote>
  <w:footnote w:id="43">
    <w:p w14:paraId="1C35012F" w14:textId="77777777" w:rsidR="00E828B7" w:rsidRPr="001807A7" w:rsidRDefault="00E828B7" w:rsidP="00F953EC">
      <w:pPr>
        <w:pStyle w:val="FootnoteText"/>
      </w:pPr>
      <w:r>
        <w:rPr>
          <w:rStyle w:val="FootnoteReference"/>
        </w:rPr>
        <w:footnoteRef/>
      </w:r>
      <w:r>
        <w:t xml:space="preserve"> </w:t>
      </w:r>
      <w:r w:rsidRPr="00780EB4">
        <w:rPr>
          <w:b/>
          <w:color w:val="4472C4" w:themeColor="accent1"/>
        </w:rPr>
        <w:t>Note</w:t>
      </w:r>
      <w:r>
        <w:t xml:space="preserve">: The 33 member countries of the Community of Latin America and Caribbean States (CELAC) include </w:t>
      </w:r>
      <w:r w:rsidRPr="001807A7">
        <w:rPr>
          <w:color w:val="000000" w:themeColor="text1"/>
        </w:rPr>
        <w:t>Antigua and Barbuda, Argentina, Bahamas, Barbados, Belize, Bolivia, Brazil, Chile, Colombia, Costa Rica, Cuba, Dominica, Ecuador, El Salvador, Guatemala, Grenada, Guyana, Haiti, Honduras, Jamaica, Mexico, Nicaragua, Paraguay, Peru, Panama, Dominican Republic, Saint Kitts and Nevis, Saint Vincent and The Grenadines, St. Lucia, Suriname, Trinidad and Tobago, Venezuela and Uruguay</w:t>
      </w:r>
      <w:r>
        <w:rPr>
          <w:color w:val="000000" w:themeColor="text1"/>
        </w:rPr>
        <w:t xml:space="preserve">. </w:t>
      </w:r>
    </w:p>
  </w:footnote>
  <w:footnote w:id="44">
    <w:p w14:paraId="395CCC3E" w14:textId="3C36CF8E" w:rsidR="00E828B7" w:rsidRPr="00080B52" w:rsidRDefault="00E828B7" w:rsidP="00F953EC">
      <w:pPr>
        <w:pStyle w:val="FootnoteText"/>
      </w:pPr>
      <w:r w:rsidRPr="00080B52">
        <w:rPr>
          <w:rStyle w:val="FootnoteReference"/>
        </w:rPr>
        <w:footnoteRef/>
      </w:r>
      <w:r w:rsidRPr="00080B52">
        <w:t>“</w:t>
      </w:r>
      <w:r w:rsidRPr="00080B52">
        <w:rPr>
          <w:i/>
        </w:rPr>
        <w:t xml:space="preserve">Doing Business </w:t>
      </w:r>
      <w:r w:rsidRPr="00080B52">
        <w:t xml:space="preserve">Data,” data from World Bank, Available at </w:t>
      </w:r>
      <w:hyperlink r:id="rId22" w:history="1">
        <w:r w:rsidRPr="00080B52">
          <w:rPr>
            <w:rStyle w:val="Hyperlink"/>
          </w:rPr>
          <w:t>https://www.doingbusiness.org/en/data</w:t>
        </w:r>
      </w:hyperlink>
      <w:r w:rsidRPr="00080B52">
        <w:t>.</w:t>
      </w:r>
    </w:p>
  </w:footnote>
  <w:footnote w:id="45">
    <w:p w14:paraId="66B45831" w14:textId="77777777" w:rsidR="00E828B7" w:rsidRPr="00711430" w:rsidRDefault="00E828B7">
      <w:pPr>
        <w:pStyle w:val="FootnoteText"/>
      </w:pPr>
      <w:r w:rsidRPr="00711430">
        <w:rPr>
          <w:rStyle w:val="FootnoteReference"/>
        </w:rPr>
        <w:footnoteRef/>
      </w:r>
      <w:r w:rsidRPr="00711430">
        <w:t xml:space="preserve"> “</w:t>
      </w:r>
      <w:r w:rsidRPr="00711430">
        <w:rPr>
          <w:bCs/>
        </w:rPr>
        <w:t xml:space="preserve">Public credit registry coverage (% of adults),” data from World Bank. Available at </w:t>
      </w:r>
      <w:hyperlink r:id="rId23" w:history="1">
        <w:r w:rsidRPr="00711430">
          <w:rPr>
            <w:rStyle w:val="Hyperlink"/>
            <w:bCs/>
          </w:rPr>
          <w:t>https://data.worldbank.org/indicator/IC.CRD.PUBL.ZS</w:t>
        </w:r>
      </w:hyperlink>
      <w:r w:rsidRPr="00711430">
        <w:rPr>
          <w:bCs/>
        </w:rPr>
        <w:t>.</w:t>
      </w:r>
    </w:p>
  </w:footnote>
  <w:footnote w:id="46">
    <w:p w14:paraId="2FA84D62" w14:textId="77777777" w:rsidR="00E828B7" w:rsidRPr="00711430" w:rsidRDefault="00E828B7">
      <w:pPr>
        <w:pStyle w:val="FootnoteText"/>
      </w:pPr>
      <w:r w:rsidRPr="00711430">
        <w:rPr>
          <w:rStyle w:val="FootnoteReference"/>
        </w:rPr>
        <w:footnoteRef/>
      </w:r>
      <w:r w:rsidRPr="00711430">
        <w:t xml:space="preserve"> Ibid.</w:t>
      </w:r>
    </w:p>
  </w:footnote>
  <w:footnote w:id="47">
    <w:p w14:paraId="66AD6C8F" w14:textId="77777777" w:rsidR="00E828B7" w:rsidRPr="00711430" w:rsidRDefault="00E828B7">
      <w:pPr>
        <w:pStyle w:val="FootnoteText"/>
      </w:pPr>
      <w:r w:rsidRPr="00711430">
        <w:rPr>
          <w:rStyle w:val="FootnoteReference"/>
        </w:rPr>
        <w:footnoteRef/>
      </w:r>
      <w:r w:rsidRPr="00711430">
        <w:t xml:space="preserve"> Ibid. </w:t>
      </w:r>
    </w:p>
  </w:footnote>
  <w:footnote w:id="48">
    <w:p w14:paraId="262AA07D" w14:textId="77777777" w:rsidR="00E828B7" w:rsidRDefault="00E828B7">
      <w:pPr>
        <w:pStyle w:val="FootnoteText"/>
      </w:pPr>
      <w:r>
        <w:rPr>
          <w:rStyle w:val="FootnoteReference"/>
        </w:rPr>
        <w:footnoteRef/>
      </w:r>
      <w:r>
        <w:t xml:space="preserve"> </w:t>
      </w:r>
      <w:r w:rsidRPr="00080B52">
        <w:t>“</w:t>
      </w:r>
      <w:r w:rsidRPr="00080B52">
        <w:rPr>
          <w:i/>
        </w:rPr>
        <w:t xml:space="preserve">Doing Business </w:t>
      </w:r>
      <w:r w:rsidRPr="00080B52">
        <w:t xml:space="preserve">Data,” data from World Bank, Available at </w:t>
      </w:r>
      <w:hyperlink r:id="rId24" w:history="1">
        <w:r w:rsidRPr="00080B52">
          <w:rPr>
            <w:rStyle w:val="Hyperlink"/>
          </w:rPr>
          <w:t>https://www.doingbusiness.org/en/data</w:t>
        </w:r>
      </w:hyperlink>
      <w:r w:rsidRPr="00080B52">
        <w:t>.</w:t>
      </w:r>
    </w:p>
  </w:footnote>
  <w:footnote w:id="49">
    <w:p w14:paraId="4C5B9C86" w14:textId="77777777" w:rsidR="00E828B7" w:rsidRDefault="00E828B7" w:rsidP="00380683">
      <w:pPr>
        <w:pStyle w:val="FootnoteText"/>
      </w:pPr>
      <w:r w:rsidRPr="00080B52">
        <w:rPr>
          <w:rStyle w:val="FootnoteReference"/>
        </w:rPr>
        <w:footnoteRef/>
      </w:r>
      <w:r w:rsidRPr="00080B52">
        <w:t xml:space="preserve"> </w:t>
      </w:r>
      <w:r w:rsidRPr="0098186C">
        <w:rPr>
          <w:iCs/>
          <w:color w:val="000000" w:themeColor="text1"/>
        </w:rPr>
        <w:t>Hilhorst, Thea, and Meunier, Frederic</w:t>
      </w:r>
      <w:r>
        <w:rPr>
          <w:iCs/>
          <w:color w:val="000000" w:themeColor="text1"/>
        </w:rPr>
        <w:t xml:space="preserve">, </w:t>
      </w:r>
      <w:r w:rsidRPr="0098186C">
        <w:rPr>
          <w:iCs/>
          <w:color w:val="000000" w:themeColor="text1"/>
        </w:rPr>
        <w:t>2015</w:t>
      </w:r>
      <w:r>
        <w:rPr>
          <w:i/>
          <w:iCs/>
          <w:color w:val="000000" w:themeColor="text1"/>
        </w:rPr>
        <w:t>,</w:t>
      </w:r>
      <w:r w:rsidRPr="0098186C">
        <w:rPr>
          <w:i/>
          <w:iCs/>
          <w:color w:val="000000" w:themeColor="text1"/>
        </w:rPr>
        <w:t> </w:t>
      </w:r>
      <w:r>
        <w:rPr>
          <w:i/>
          <w:iCs/>
          <w:color w:val="000000" w:themeColor="text1"/>
        </w:rPr>
        <w:t>“</w:t>
      </w:r>
      <w:r w:rsidRPr="0098186C">
        <w:rPr>
          <w:i/>
          <w:iCs/>
          <w:color w:val="000000" w:themeColor="text1"/>
        </w:rPr>
        <w:t>How Innovations</w:t>
      </w:r>
      <w:r>
        <w:rPr>
          <w:i/>
          <w:iCs/>
          <w:color w:val="000000" w:themeColor="text1"/>
        </w:rPr>
        <w:t>”</w:t>
      </w:r>
    </w:p>
  </w:footnote>
  <w:footnote w:id="50">
    <w:p w14:paraId="71909499" w14:textId="77777777" w:rsidR="00E828B7" w:rsidRDefault="00E828B7" w:rsidP="00286528">
      <w:pPr>
        <w:pStyle w:val="FootnoteText"/>
      </w:pPr>
      <w:r>
        <w:rPr>
          <w:rStyle w:val="FootnoteReference"/>
        </w:rPr>
        <w:footnoteRef/>
      </w:r>
      <w:r>
        <w:t xml:space="preserve"> </w:t>
      </w:r>
      <w:r>
        <w:rPr>
          <w:iCs/>
          <w:color w:val="000000" w:themeColor="text1"/>
        </w:rPr>
        <w:t>Ibid.</w:t>
      </w:r>
    </w:p>
  </w:footnote>
  <w:footnote w:id="51">
    <w:p w14:paraId="52A19C34" w14:textId="77777777" w:rsidR="00E828B7" w:rsidRDefault="00E828B7">
      <w:pPr>
        <w:pStyle w:val="FootnoteText"/>
      </w:pPr>
      <w:r>
        <w:rPr>
          <w:rStyle w:val="FootnoteReference"/>
        </w:rPr>
        <w:footnoteRef/>
      </w:r>
      <w:r>
        <w:t xml:space="preserve"> </w:t>
      </w:r>
      <w:r w:rsidRPr="007E6610">
        <w:t xml:space="preserve">“Registering Property,” data from World Bank, Available at </w:t>
      </w:r>
      <w:hyperlink r:id="rId25" w:history="1">
        <w:r w:rsidRPr="007E6610">
          <w:rPr>
            <w:rStyle w:val="Hyperlink"/>
          </w:rPr>
          <w:t>https://www.doingbusiness.org/en/data</w:t>
        </w:r>
      </w:hyperlink>
      <w:r w:rsidRPr="007E6610">
        <w:t>.</w:t>
      </w:r>
    </w:p>
  </w:footnote>
  <w:footnote w:id="52">
    <w:p w14:paraId="1CF26304" w14:textId="77777777" w:rsidR="00E828B7" w:rsidRDefault="00E828B7" w:rsidP="00CB4F88">
      <w:pPr>
        <w:pStyle w:val="FootnoteText"/>
      </w:pPr>
      <w:r>
        <w:rPr>
          <w:rStyle w:val="FootnoteReference"/>
        </w:rPr>
        <w:footnoteRef/>
      </w:r>
      <w:r>
        <w:t xml:space="preserve"> </w:t>
      </w:r>
      <w:r w:rsidRPr="0098186C">
        <w:rPr>
          <w:iCs/>
          <w:color w:val="000000" w:themeColor="text1"/>
        </w:rPr>
        <w:t>Hilhorst, Thea, and Meunier, Frederic</w:t>
      </w:r>
      <w:r>
        <w:rPr>
          <w:iCs/>
          <w:color w:val="000000" w:themeColor="text1"/>
        </w:rPr>
        <w:t xml:space="preserve">, </w:t>
      </w:r>
      <w:r w:rsidRPr="0098186C">
        <w:rPr>
          <w:iCs/>
          <w:color w:val="000000" w:themeColor="text1"/>
        </w:rPr>
        <w:t>2015</w:t>
      </w:r>
      <w:r>
        <w:rPr>
          <w:i/>
          <w:iCs/>
          <w:color w:val="000000" w:themeColor="text1"/>
        </w:rPr>
        <w:t>,</w:t>
      </w:r>
      <w:r w:rsidRPr="0098186C">
        <w:rPr>
          <w:i/>
          <w:iCs/>
          <w:color w:val="000000" w:themeColor="text1"/>
        </w:rPr>
        <w:t> </w:t>
      </w:r>
      <w:r>
        <w:rPr>
          <w:i/>
          <w:iCs/>
          <w:color w:val="000000" w:themeColor="text1"/>
        </w:rPr>
        <w:t>“</w:t>
      </w:r>
      <w:r w:rsidRPr="0098186C">
        <w:rPr>
          <w:i/>
          <w:iCs/>
          <w:color w:val="000000" w:themeColor="text1"/>
        </w:rPr>
        <w:t>How Innovations</w:t>
      </w:r>
      <w:r>
        <w:rPr>
          <w:i/>
          <w:iCs/>
          <w:color w:val="000000" w:themeColor="text1"/>
        </w:rPr>
        <w:t>”</w:t>
      </w:r>
    </w:p>
  </w:footnote>
  <w:footnote w:id="53">
    <w:p w14:paraId="19CD480D" w14:textId="77777777" w:rsidR="00E828B7" w:rsidRDefault="00E828B7">
      <w:pPr>
        <w:pStyle w:val="FootnoteText"/>
      </w:pPr>
      <w:r>
        <w:rPr>
          <w:rStyle w:val="FootnoteReference"/>
        </w:rPr>
        <w:footnoteRef/>
      </w:r>
      <w:r>
        <w:t xml:space="preserve"> </w:t>
      </w:r>
      <w:r w:rsidRPr="007E6610">
        <w:t xml:space="preserve">“Registering Property,” data from World Bank, Available at </w:t>
      </w:r>
      <w:hyperlink r:id="rId26" w:history="1">
        <w:r w:rsidRPr="007E6610">
          <w:rPr>
            <w:rStyle w:val="Hyperlink"/>
          </w:rPr>
          <w:t>https://www.doingbusiness.org/en/data</w:t>
        </w:r>
      </w:hyperlink>
      <w:r w:rsidRPr="007E6610">
        <w:t>.</w:t>
      </w:r>
    </w:p>
  </w:footnote>
  <w:footnote w:id="54">
    <w:p w14:paraId="7351EC04" w14:textId="77777777" w:rsidR="00E828B7" w:rsidRPr="007E6610" w:rsidRDefault="00E828B7" w:rsidP="00605582">
      <w:pPr>
        <w:pStyle w:val="FootnoteText"/>
      </w:pPr>
      <w:r>
        <w:rPr>
          <w:rStyle w:val="FootnoteReference"/>
        </w:rPr>
        <w:footnoteRef/>
      </w:r>
      <w:r>
        <w:t xml:space="preserve"> </w:t>
      </w:r>
      <w:r w:rsidRPr="007E6610">
        <w:t xml:space="preserve">“Registering Property,” data from World Bank, Available at </w:t>
      </w:r>
      <w:hyperlink r:id="rId27" w:history="1">
        <w:r w:rsidRPr="007E6610">
          <w:rPr>
            <w:rStyle w:val="Hyperlink"/>
          </w:rPr>
          <w:t>https://www.doingbusiness.org/en/data</w:t>
        </w:r>
      </w:hyperlink>
      <w:r w:rsidRPr="007E6610">
        <w:t>.</w:t>
      </w:r>
    </w:p>
  </w:footnote>
  <w:footnote w:id="55">
    <w:p w14:paraId="28D858BB" w14:textId="77777777" w:rsidR="00E828B7" w:rsidRDefault="00E828B7" w:rsidP="00605582">
      <w:pPr>
        <w:pStyle w:val="FootnoteText"/>
      </w:pPr>
      <w:r>
        <w:rPr>
          <w:rStyle w:val="FootnoteReference"/>
        </w:rPr>
        <w:footnoteRef/>
      </w:r>
      <w:r>
        <w:t xml:space="preserve"> </w:t>
      </w:r>
      <w:r w:rsidRPr="0098186C">
        <w:rPr>
          <w:iCs/>
          <w:color w:val="000000" w:themeColor="text1"/>
        </w:rPr>
        <w:t>Hilhorst, Thea, and Meunier, Frederic</w:t>
      </w:r>
      <w:r>
        <w:rPr>
          <w:iCs/>
          <w:color w:val="000000" w:themeColor="text1"/>
        </w:rPr>
        <w:t xml:space="preserve">, </w:t>
      </w:r>
      <w:r w:rsidRPr="0098186C">
        <w:rPr>
          <w:iCs/>
          <w:color w:val="000000" w:themeColor="text1"/>
        </w:rPr>
        <w:t>2015</w:t>
      </w:r>
      <w:r>
        <w:rPr>
          <w:i/>
          <w:iCs/>
          <w:color w:val="000000" w:themeColor="text1"/>
        </w:rPr>
        <w:t>,</w:t>
      </w:r>
      <w:r w:rsidRPr="0098186C">
        <w:rPr>
          <w:i/>
          <w:iCs/>
          <w:color w:val="000000" w:themeColor="text1"/>
        </w:rPr>
        <w:t> </w:t>
      </w:r>
      <w:r>
        <w:rPr>
          <w:i/>
          <w:iCs/>
          <w:color w:val="000000" w:themeColor="text1"/>
        </w:rPr>
        <w:t>“</w:t>
      </w:r>
      <w:r w:rsidRPr="0098186C">
        <w:rPr>
          <w:i/>
          <w:iCs/>
          <w:color w:val="000000" w:themeColor="text1"/>
        </w:rPr>
        <w:t>How Innovations</w:t>
      </w:r>
      <w:r>
        <w:rPr>
          <w:i/>
          <w:iCs/>
          <w:color w:val="000000" w:themeColor="text1"/>
        </w:rPr>
        <w:t>”</w:t>
      </w:r>
    </w:p>
  </w:footnote>
  <w:footnote w:id="56">
    <w:p w14:paraId="0ED0BA67" w14:textId="77777777" w:rsidR="00E828B7" w:rsidRPr="007E6610" w:rsidRDefault="00E828B7" w:rsidP="0079729E">
      <w:pPr>
        <w:rPr>
          <w:color w:val="000000" w:themeColor="text1"/>
          <w:sz w:val="20"/>
          <w:szCs w:val="20"/>
        </w:rPr>
      </w:pPr>
      <w:r w:rsidRPr="007E6610">
        <w:rPr>
          <w:rStyle w:val="FootnoteReference"/>
          <w:sz w:val="20"/>
          <w:szCs w:val="20"/>
        </w:rPr>
        <w:footnoteRef/>
      </w:r>
      <w:r w:rsidRPr="007E6610">
        <w:rPr>
          <w:sz w:val="20"/>
          <w:szCs w:val="20"/>
        </w:rPr>
        <w:t xml:space="preserve"> </w:t>
      </w:r>
      <w:r w:rsidRPr="007E6610">
        <w:rPr>
          <w:color w:val="000000" w:themeColor="text1"/>
          <w:sz w:val="20"/>
          <w:szCs w:val="20"/>
        </w:rPr>
        <w:t xml:space="preserve">“Population, total,” data from World Bank. Available at </w:t>
      </w:r>
      <w:hyperlink r:id="rId28" w:history="1">
        <w:r w:rsidRPr="007E6610">
          <w:rPr>
            <w:rStyle w:val="Hyperlink"/>
            <w:sz w:val="20"/>
            <w:szCs w:val="20"/>
          </w:rPr>
          <w:t>https://data.worldbank.org/indicator/SP.POP.TOTL</w:t>
        </w:r>
      </w:hyperlink>
      <w:r w:rsidRPr="007E6610">
        <w:rPr>
          <w:color w:val="000000" w:themeColor="text1"/>
          <w:sz w:val="20"/>
          <w:szCs w:val="20"/>
        </w:rPr>
        <w:t>.</w:t>
      </w:r>
    </w:p>
  </w:footnote>
  <w:footnote w:id="57">
    <w:p w14:paraId="26030032" w14:textId="750A048E" w:rsidR="00E828B7" w:rsidRPr="00CC42D9" w:rsidRDefault="00E828B7" w:rsidP="00CC42D9">
      <w:pPr>
        <w:rPr>
          <w:sz w:val="20"/>
          <w:szCs w:val="20"/>
        </w:rPr>
      </w:pPr>
      <w:r w:rsidRPr="00CC42D9">
        <w:rPr>
          <w:rStyle w:val="FootnoteReference"/>
          <w:sz w:val="20"/>
          <w:szCs w:val="20"/>
        </w:rPr>
        <w:footnoteRef/>
      </w:r>
      <w:r w:rsidRPr="00CC42D9">
        <w:rPr>
          <w:sz w:val="20"/>
          <w:szCs w:val="20"/>
        </w:rPr>
        <w:t xml:space="preserve"> Rural population (% of total population),” data from World Bank. Available at </w:t>
      </w:r>
      <w:hyperlink r:id="rId29" w:history="1">
        <w:r w:rsidRPr="00CC42D9">
          <w:rPr>
            <w:rStyle w:val="Hyperlink"/>
            <w:sz w:val="20"/>
            <w:szCs w:val="20"/>
          </w:rPr>
          <w:t>https://data.worldbank.org/indicator/SP.RUR.TOTL.ZS</w:t>
        </w:r>
      </w:hyperlink>
      <w:r w:rsidRPr="00CC42D9">
        <w:rPr>
          <w:sz w:val="20"/>
          <w:szCs w:val="20"/>
        </w:rPr>
        <w:t>.</w:t>
      </w:r>
    </w:p>
  </w:footnote>
  <w:footnote w:id="58">
    <w:p w14:paraId="53981F17" w14:textId="0DAA43C9" w:rsidR="00E828B7" w:rsidRDefault="00E828B7">
      <w:pPr>
        <w:pStyle w:val="FootnoteText"/>
      </w:pPr>
      <w:r>
        <w:rPr>
          <w:rStyle w:val="FootnoteReference"/>
        </w:rPr>
        <w:footnoteRef/>
      </w:r>
      <w:r>
        <w:t xml:space="preserve"> </w:t>
      </w:r>
      <w:r w:rsidRPr="00CC42D9">
        <w:t xml:space="preserve">Rural population (% of total population),” data from World Bank. Available at </w:t>
      </w:r>
      <w:hyperlink r:id="rId30" w:history="1">
        <w:r w:rsidRPr="00CC42D9">
          <w:rPr>
            <w:rStyle w:val="Hyperlink"/>
          </w:rPr>
          <w:t>https://data.worldbank.org/indicator/SP.RUR.TOTL.ZS</w:t>
        </w:r>
      </w:hyperlink>
      <w:r>
        <w:t>.</w:t>
      </w:r>
    </w:p>
  </w:footnote>
  <w:footnote w:id="59">
    <w:p w14:paraId="7DADF529" w14:textId="77777777" w:rsidR="00E828B7" w:rsidRPr="008C1043" w:rsidRDefault="00E828B7" w:rsidP="008B4805">
      <w:pPr>
        <w:pStyle w:val="FootnoteText"/>
      </w:pPr>
      <w:r w:rsidRPr="008C1043">
        <w:rPr>
          <w:rStyle w:val="FootnoteReference"/>
        </w:rPr>
        <w:footnoteRef/>
      </w:r>
      <w:r w:rsidRPr="008C1043">
        <w:t xml:space="preserve"> Besley, Timothy, and Ghatak, Maitreesh, 2009, “The De Soto Effect,” The London School of Economics, Research Paper No. EOPP008, Available at </w:t>
      </w:r>
      <w:hyperlink r:id="rId31" w:history="1">
        <w:r w:rsidRPr="008C1043">
          <w:rPr>
            <w:rStyle w:val="Hyperlink"/>
          </w:rPr>
          <w:t>http://sticerd.lse.ac.uk/dps/eopp/eopp08.pdf</w:t>
        </w:r>
      </w:hyperlink>
      <w:r w:rsidRPr="008C1043">
        <w:t>.</w:t>
      </w:r>
    </w:p>
  </w:footnote>
  <w:footnote w:id="60">
    <w:p w14:paraId="17C8475D" w14:textId="3F943519" w:rsidR="00E828B7" w:rsidRPr="003A3FF2" w:rsidRDefault="00E828B7" w:rsidP="003A3FF2">
      <w:pPr>
        <w:rPr>
          <w:sz w:val="20"/>
          <w:szCs w:val="20"/>
        </w:rPr>
      </w:pPr>
      <w:r w:rsidRPr="008C1043">
        <w:rPr>
          <w:rStyle w:val="FootnoteReference"/>
          <w:sz w:val="20"/>
          <w:szCs w:val="20"/>
        </w:rPr>
        <w:footnoteRef/>
      </w:r>
      <w:r w:rsidRPr="008C1043">
        <w:rPr>
          <w:sz w:val="20"/>
          <w:szCs w:val="20"/>
        </w:rPr>
        <w:t xml:space="preserve"> “Rural population (% of total population),” data from World Bank. Available at </w:t>
      </w:r>
      <w:hyperlink r:id="rId32" w:history="1">
        <w:r w:rsidRPr="008C1043">
          <w:rPr>
            <w:rStyle w:val="Hyperlink"/>
            <w:sz w:val="20"/>
            <w:szCs w:val="20"/>
          </w:rPr>
          <w:t>https://data.worldbank.org/indicator/SP.RUR.TOTL.ZS</w:t>
        </w:r>
      </w:hyperlink>
      <w:r w:rsidRPr="008C1043">
        <w:rPr>
          <w:sz w:val="20"/>
          <w:szCs w:val="20"/>
        </w:rPr>
        <w:t>.</w:t>
      </w:r>
    </w:p>
  </w:footnote>
  <w:footnote w:id="61">
    <w:p w14:paraId="5C2B530E" w14:textId="77777777" w:rsidR="00E828B7" w:rsidRDefault="00E828B7" w:rsidP="00285140">
      <w:pPr>
        <w:pStyle w:val="FootnoteText"/>
      </w:pPr>
      <w:r>
        <w:rPr>
          <w:rStyle w:val="FootnoteReference"/>
        </w:rPr>
        <w:footnoteRef/>
      </w:r>
      <w:r>
        <w:t xml:space="preserve"> Esri, “Land Administration and Land Records,” Esri, Available at </w:t>
      </w:r>
      <w:hyperlink r:id="rId33" w:history="1">
        <w:r w:rsidRPr="0017552F">
          <w:rPr>
            <w:rStyle w:val="Hyperlink"/>
          </w:rPr>
          <w:t>https://www.esri.com/en-us/industries/land-administration/overview</w:t>
        </w:r>
      </w:hyperlink>
      <w:r>
        <w:t xml:space="preserve">. </w:t>
      </w:r>
    </w:p>
  </w:footnote>
  <w:footnote w:id="62">
    <w:p w14:paraId="051E3893" w14:textId="77777777" w:rsidR="00E828B7" w:rsidRPr="00AF45C2" w:rsidRDefault="00E828B7" w:rsidP="00285140">
      <w:pPr>
        <w:pStyle w:val="FootnoteText"/>
        <w:rPr>
          <w:sz w:val="24"/>
          <w:szCs w:val="24"/>
        </w:rPr>
      </w:pPr>
      <w:r w:rsidRPr="00AF45C2">
        <w:rPr>
          <w:rStyle w:val="FootnoteReference"/>
        </w:rPr>
        <w:footnoteRef/>
      </w:r>
      <w:r w:rsidRPr="00AF45C2">
        <w:t xml:space="preserve"> Branford, Sue. 2020. “‘Digital land grab’ deprives traditional LatAm peoples of ancestral lands: Report.” Mongabay, Conservation News, Available at </w:t>
      </w:r>
      <w:hyperlink r:id="rId34" w:history="1">
        <w:r w:rsidRPr="00AF45C2">
          <w:rPr>
            <w:rStyle w:val="Hyperlink"/>
          </w:rPr>
          <w:t>https://news.mongabay.com/2020/10/digital-land-grab-deprives-traditional-latam-peoples-of-ancestral-lands-report/</w:t>
        </w:r>
      </w:hyperlink>
      <w:r w:rsidRPr="00AF45C2">
        <w:t xml:space="preserve">. </w:t>
      </w:r>
    </w:p>
  </w:footnote>
  <w:footnote w:id="63">
    <w:p w14:paraId="736D15DF" w14:textId="77777777" w:rsidR="00E828B7" w:rsidRDefault="00E828B7" w:rsidP="00285140">
      <w:pPr>
        <w:pStyle w:val="FootnoteText"/>
      </w:pPr>
      <w:r>
        <w:rPr>
          <w:rStyle w:val="FootnoteReference"/>
        </w:rPr>
        <w:footnoteRef/>
      </w:r>
      <w:r>
        <w:t xml:space="preserve"> Esri,</w:t>
      </w:r>
      <w:r w:rsidRPr="001C06CA">
        <w:t xml:space="preserve"> “GIS in South America</w:t>
      </w:r>
      <w:r>
        <w:t>,</w:t>
      </w:r>
      <w:r w:rsidRPr="001C06CA">
        <w:t>” 2013</w:t>
      </w:r>
      <w:r>
        <w:t>,</w:t>
      </w:r>
      <w:r w:rsidRPr="001C06CA">
        <w:t xml:space="preserve"> Redlands, CA: </w:t>
      </w:r>
      <w:r>
        <w:t>Esri</w:t>
      </w:r>
      <w:r>
        <w:rPr>
          <w:i/>
        </w:rPr>
        <w:t>,</w:t>
      </w:r>
      <w:r w:rsidRPr="001C06CA">
        <w:rPr>
          <w:i/>
        </w:rPr>
        <w:t xml:space="preserve"> </w:t>
      </w:r>
      <w:r w:rsidRPr="001C06CA">
        <w:t xml:space="preserve">Available at </w:t>
      </w:r>
      <w:hyperlink r:id="rId35" w:history="1">
        <w:r w:rsidRPr="001C06CA">
          <w:rPr>
            <w:rStyle w:val="Hyperlink"/>
          </w:rPr>
          <w:t>https://www.esri.com/~/media/Files/Pdfs/library/ebooks/gis-in-south-america.pdf</w:t>
        </w:r>
      </w:hyperlink>
      <w:r>
        <w:t>.</w:t>
      </w:r>
    </w:p>
  </w:footnote>
  <w:footnote w:id="64">
    <w:p w14:paraId="3AED0E3D" w14:textId="77777777" w:rsidR="00E828B7" w:rsidRPr="0090295C" w:rsidRDefault="00E828B7" w:rsidP="00285140">
      <w:pPr>
        <w:pStyle w:val="FootnoteText"/>
      </w:pPr>
      <w:r w:rsidRPr="0090295C">
        <w:rPr>
          <w:rStyle w:val="FootnoteReference"/>
        </w:rPr>
        <w:footnoteRef/>
      </w:r>
      <w:r w:rsidRPr="0090295C">
        <w:t>Acharya, Vijeth, Ramaprasad, Arkalgud, Vasudevan, Shraddha, 2018, “eLand”</w:t>
      </w:r>
    </w:p>
  </w:footnote>
  <w:footnote w:id="65">
    <w:p w14:paraId="33480850" w14:textId="77777777" w:rsidR="00E828B7" w:rsidRDefault="00E828B7" w:rsidP="00285140">
      <w:pPr>
        <w:pStyle w:val="FootnoteText"/>
      </w:pPr>
      <w:r>
        <w:rPr>
          <w:rStyle w:val="FootnoteReference"/>
        </w:rPr>
        <w:footnoteRef/>
      </w:r>
      <w:r>
        <w:t xml:space="preserve"> </w:t>
      </w:r>
      <w:r w:rsidRPr="008B03AB">
        <w:t>Branford, Sue, 2020, “‘Digital land grab’”</w:t>
      </w:r>
    </w:p>
  </w:footnote>
  <w:footnote w:id="66">
    <w:p w14:paraId="6D73A9D8" w14:textId="77777777" w:rsidR="00E828B7" w:rsidRDefault="00E828B7" w:rsidP="00285140">
      <w:pPr>
        <w:pStyle w:val="FootnoteText"/>
      </w:pPr>
      <w:r>
        <w:rPr>
          <w:rStyle w:val="FootnoteReference"/>
        </w:rPr>
        <w:footnoteRef/>
      </w:r>
      <w:r>
        <w:t xml:space="preserve"> </w:t>
      </w:r>
      <w:r w:rsidRPr="001C06CA">
        <w:t>Daley</w:t>
      </w:r>
      <w:r>
        <w:t>, Elizabeth</w:t>
      </w:r>
      <w:r w:rsidRPr="001C06CA">
        <w:t xml:space="preserve"> and Hobley</w:t>
      </w:r>
      <w:r>
        <w:t xml:space="preserve">, Mary, </w:t>
      </w:r>
      <w:r w:rsidRPr="001C06CA">
        <w:t>2005</w:t>
      </w:r>
      <w:r>
        <w:t>,</w:t>
      </w:r>
      <w:r w:rsidRPr="001C06CA">
        <w:t xml:space="preserve"> </w:t>
      </w:r>
      <w:r>
        <w:t>“</w:t>
      </w:r>
      <w:r w:rsidRPr="001C06CA">
        <w:rPr>
          <w:i/>
        </w:rPr>
        <w:t>Land: Changing</w:t>
      </w:r>
      <w:r>
        <w:rPr>
          <w:i/>
        </w:rPr>
        <w:t>”</w:t>
      </w:r>
    </w:p>
  </w:footnote>
  <w:footnote w:id="67">
    <w:p w14:paraId="0947B9EF" w14:textId="77777777" w:rsidR="00E828B7" w:rsidRPr="00AF45C2" w:rsidRDefault="00E828B7" w:rsidP="00285140">
      <w:pPr>
        <w:pStyle w:val="FootnoteText"/>
      </w:pPr>
      <w:r w:rsidRPr="00AF45C2">
        <w:rPr>
          <w:rStyle w:val="FootnoteReference"/>
        </w:rPr>
        <w:footnoteRef/>
      </w:r>
      <w:r w:rsidRPr="00AF45C2">
        <w:t xml:space="preserve"> Esri, “GIS in South America”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5639961"/>
      <w:docPartObj>
        <w:docPartGallery w:val="Page Numbers (Top of Page)"/>
        <w:docPartUnique/>
      </w:docPartObj>
    </w:sdtPr>
    <w:sdtEndPr>
      <w:rPr>
        <w:rStyle w:val="PageNumber"/>
      </w:rPr>
    </w:sdtEndPr>
    <w:sdtContent>
      <w:p w14:paraId="424B5658" w14:textId="77777777" w:rsidR="00E828B7" w:rsidRDefault="00E828B7" w:rsidP="000037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3C3E97" w14:textId="77777777" w:rsidR="00E828B7" w:rsidRDefault="00E828B7" w:rsidP="00D534C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8E0DA" w14:textId="77777777" w:rsidR="00E828B7" w:rsidRDefault="00E828B7" w:rsidP="00D534C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77FC" w14:textId="77777777" w:rsidR="00E828B7" w:rsidRDefault="00E828B7">
    <w:pPr>
      <w:pStyle w:val="Header"/>
    </w:pPr>
  </w:p>
  <w:p w14:paraId="4181E63F" w14:textId="77777777" w:rsidR="00E828B7" w:rsidRDefault="00E82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11D54"/>
    <w:multiLevelType w:val="multilevel"/>
    <w:tmpl w:val="9970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F68D8"/>
    <w:multiLevelType w:val="hybridMultilevel"/>
    <w:tmpl w:val="2C3C7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F75A9"/>
    <w:multiLevelType w:val="hybridMultilevel"/>
    <w:tmpl w:val="2E1AE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5B113A"/>
    <w:multiLevelType w:val="hybridMultilevel"/>
    <w:tmpl w:val="28C4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34FFC"/>
    <w:multiLevelType w:val="hybridMultilevel"/>
    <w:tmpl w:val="A798E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724DE"/>
    <w:multiLevelType w:val="hybridMultilevel"/>
    <w:tmpl w:val="25209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52A40"/>
    <w:multiLevelType w:val="hybridMultilevel"/>
    <w:tmpl w:val="020AAB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F4410"/>
    <w:multiLevelType w:val="hybridMultilevel"/>
    <w:tmpl w:val="C4CA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66"/>
    <w:rsid w:val="000037A5"/>
    <w:rsid w:val="00004838"/>
    <w:rsid w:val="00007829"/>
    <w:rsid w:val="00012B63"/>
    <w:rsid w:val="00044DD4"/>
    <w:rsid w:val="000514FE"/>
    <w:rsid w:val="000574C2"/>
    <w:rsid w:val="000671CF"/>
    <w:rsid w:val="00076191"/>
    <w:rsid w:val="0007739F"/>
    <w:rsid w:val="00080B52"/>
    <w:rsid w:val="00080DAC"/>
    <w:rsid w:val="00085DFF"/>
    <w:rsid w:val="000871A8"/>
    <w:rsid w:val="000B0420"/>
    <w:rsid w:val="000C31C2"/>
    <w:rsid w:val="000C44BA"/>
    <w:rsid w:val="000D022C"/>
    <w:rsid w:val="000E2AAA"/>
    <w:rsid w:val="000F3172"/>
    <w:rsid w:val="00103440"/>
    <w:rsid w:val="001054FA"/>
    <w:rsid w:val="00107233"/>
    <w:rsid w:val="0011015D"/>
    <w:rsid w:val="00144B15"/>
    <w:rsid w:val="00150952"/>
    <w:rsid w:val="00153DF3"/>
    <w:rsid w:val="00155C32"/>
    <w:rsid w:val="00155DC7"/>
    <w:rsid w:val="00164EF7"/>
    <w:rsid w:val="001657B2"/>
    <w:rsid w:val="00176946"/>
    <w:rsid w:val="001807A7"/>
    <w:rsid w:val="0018713B"/>
    <w:rsid w:val="001918B0"/>
    <w:rsid w:val="001918D0"/>
    <w:rsid w:val="001923AC"/>
    <w:rsid w:val="00192CF9"/>
    <w:rsid w:val="001A2B54"/>
    <w:rsid w:val="001A4416"/>
    <w:rsid w:val="001A79BC"/>
    <w:rsid w:val="001A7CB2"/>
    <w:rsid w:val="001B7165"/>
    <w:rsid w:val="001C45D2"/>
    <w:rsid w:val="001F1400"/>
    <w:rsid w:val="0021007B"/>
    <w:rsid w:val="00216E73"/>
    <w:rsid w:val="0022327D"/>
    <w:rsid w:val="0023784E"/>
    <w:rsid w:val="00256893"/>
    <w:rsid w:val="00260585"/>
    <w:rsid w:val="00265470"/>
    <w:rsid w:val="00265521"/>
    <w:rsid w:val="002749C7"/>
    <w:rsid w:val="002751AE"/>
    <w:rsid w:val="00277D06"/>
    <w:rsid w:val="00282AA3"/>
    <w:rsid w:val="00285140"/>
    <w:rsid w:val="00286528"/>
    <w:rsid w:val="00295C76"/>
    <w:rsid w:val="002A1B3B"/>
    <w:rsid w:val="002B5996"/>
    <w:rsid w:val="002B792E"/>
    <w:rsid w:val="002D790E"/>
    <w:rsid w:val="002D7D12"/>
    <w:rsid w:val="002E388F"/>
    <w:rsid w:val="002E756F"/>
    <w:rsid w:val="002F2110"/>
    <w:rsid w:val="002F5921"/>
    <w:rsid w:val="00316E23"/>
    <w:rsid w:val="00321C3D"/>
    <w:rsid w:val="00324B94"/>
    <w:rsid w:val="003463CE"/>
    <w:rsid w:val="00356694"/>
    <w:rsid w:val="00376E66"/>
    <w:rsid w:val="0037709C"/>
    <w:rsid w:val="00380683"/>
    <w:rsid w:val="00397A05"/>
    <w:rsid w:val="003A3FF2"/>
    <w:rsid w:val="003E2878"/>
    <w:rsid w:val="003E7384"/>
    <w:rsid w:val="003F4E92"/>
    <w:rsid w:val="003F6DB6"/>
    <w:rsid w:val="00411A6B"/>
    <w:rsid w:val="004337D9"/>
    <w:rsid w:val="0046506F"/>
    <w:rsid w:val="00466083"/>
    <w:rsid w:val="00485A7E"/>
    <w:rsid w:val="004938DC"/>
    <w:rsid w:val="004943D8"/>
    <w:rsid w:val="004B1EAD"/>
    <w:rsid w:val="004B2E19"/>
    <w:rsid w:val="004C271B"/>
    <w:rsid w:val="004D353B"/>
    <w:rsid w:val="004D469A"/>
    <w:rsid w:val="004F2C55"/>
    <w:rsid w:val="00500906"/>
    <w:rsid w:val="005028CB"/>
    <w:rsid w:val="005145CE"/>
    <w:rsid w:val="005438E8"/>
    <w:rsid w:val="00563BFB"/>
    <w:rsid w:val="00572805"/>
    <w:rsid w:val="005849DD"/>
    <w:rsid w:val="005A02AE"/>
    <w:rsid w:val="005B07BF"/>
    <w:rsid w:val="005C18F4"/>
    <w:rsid w:val="005D19C1"/>
    <w:rsid w:val="005D21C2"/>
    <w:rsid w:val="005D7802"/>
    <w:rsid w:val="005E43F5"/>
    <w:rsid w:val="00601689"/>
    <w:rsid w:val="00601DD7"/>
    <w:rsid w:val="00605582"/>
    <w:rsid w:val="006158F2"/>
    <w:rsid w:val="006174A9"/>
    <w:rsid w:val="00630BD2"/>
    <w:rsid w:val="00632997"/>
    <w:rsid w:val="00635666"/>
    <w:rsid w:val="00647B65"/>
    <w:rsid w:val="00651083"/>
    <w:rsid w:val="00661B7D"/>
    <w:rsid w:val="00661E82"/>
    <w:rsid w:val="006731CA"/>
    <w:rsid w:val="00675D94"/>
    <w:rsid w:val="0068345C"/>
    <w:rsid w:val="00684FD3"/>
    <w:rsid w:val="00690F9B"/>
    <w:rsid w:val="00696DEC"/>
    <w:rsid w:val="00697700"/>
    <w:rsid w:val="006A0104"/>
    <w:rsid w:val="006A1208"/>
    <w:rsid w:val="006B1441"/>
    <w:rsid w:val="006B7D17"/>
    <w:rsid w:val="006C3EFA"/>
    <w:rsid w:val="006D55C0"/>
    <w:rsid w:val="006E3397"/>
    <w:rsid w:val="006E4BFD"/>
    <w:rsid w:val="00701123"/>
    <w:rsid w:val="007013B6"/>
    <w:rsid w:val="007013D1"/>
    <w:rsid w:val="00711430"/>
    <w:rsid w:val="00716BAD"/>
    <w:rsid w:val="00721B4B"/>
    <w:rsid w:val="007458BF"/>
    <w:rsid w:val="007634A7"/>
    <w:rsid w:val="00763F67"/>
    <w:rsid w:val="0076534E"/>
    <w:rsid w:val="00776BA5"/>
    <w:rsid w:val="00780EB4"/>
    <w:rsid w:val="00784600"/>
    <w:rsid w:val="007871E1"/>
    <w:rsid w:val="0079729E"/>
    <w:rsid w:val="007A7C47"/>
    <w:rsid w:val="007B4F3D"/>
    <w:rsid w:val="007D55F6"/>
    <w:rsid w:val="007D67A1"/>
    <w:rsid w:val="007D6C3B"/>
    <w:rsid w:val="007E4E4D"/>
    <w:rsid w:val="007E6610"/>
    <w:rsid w:val="007F4C37"/>
    <w:rsid w:val="007F62C3"/>
    <w:rsid w:val="0080248E"/>
    <w:rsid w:val="008028F5"/>
    <w:rsid w:val="00832E2F"/>
    <w:rsid w:val="00837E5B"/>
    <w:rsid w:val="0084162B"/>
    <w:rsid w:val="00841918"/>
    <w:rsid w:val="00852848"/>
    <w:rsid w:val="00852A5A"/>
    <w:rsid w:val="0086228C"/>
    <w:rsid w:val="00865AF1"/>
    <w:rsid w:val="0088286B"/>
    <w:rsid w:val="00883D7A"/>
    <w:rsid w:val="0088480B"/>
    <w:rsid w:val="0089595D"/>
    <w:rsid w:val="00896D81"/>
    <w:rsid w:val="008A0C05"/>
    <w:rsid w:val="008A75F9"/>
    <w:rsid w:val="008B03AB"/>
    <w:rsid w:val="008B4805"/>
    <w:rsid w:val="008B6359"/>
    <w:rsid w:val="008C1043"/>
    <w:rsid w:val="008C43DF"/>
    <w:rsid w:val="008C4429"/>
    <w:rsid w:val="008E661A"/>
    <w:rsid w:val="008F226E"/>
    <w:rsid w:val="008F60F0"/>
    <w:rsid w:val="008F7BD3"/>
    <w:rsid w:val="009073A8"/>
    <w:rsid w:val="00913A06"/>
    <w:rsid w:val="009273C6"/>
    <w:rsid w:val="009348C6"/>
    <w:rsid w:val="009415F9"/>
    <w:rsid w:val="009434E2"/>
    <w:rsid w:val="009436F2"/>
    <w:rsid w:val="009517EF"/>
    <w:rsid w:val="00955628"/>
    <w:rsid w:val="0098186C"/>
    <w:rsid w:val="00985825"/>
    <w:rsid w:val="009975C4"/>
    <w:rsid w:val="009A1BAC"/>
    <w:rsid w:val="009A21DF"/>
    <w:rsid w:val="009A3CD1"/>
    <w:rsid w:val="009B58BE"/>
    <w:rsid w:val="009B61AF"/>
    <w:rsid w:val="009C642E"/>
    <w:rsid w:val="009E04C8"/>
    <w:rsid w:val="009E0520"/>
    <w:rsid w:val="009F411B"/>
    <w:rsid w:val="009F63D3"/>
    <w:rsid w:val="00A00B1B"/>
    <w:rsid w:val="00A01F6F"/>
    <w:rsid w:val="00A031A8"/>
    <w:rsid w:val="00A038C1"/>
    <w:rsid w:val="00A142DD"/>
    <w:rsid w:val="00A25BEC"/>
    <w:rsid w:val="00A47A02"/>
    <w:rsid w:val="00A545DC"/>
    <w:rsid w:val="00A56DBD"/>
    <w:rsid w:val="00A62698"/>
    <w:rsid w:val="00A655CD"/>
    <w:rsid w:val="00A916A6"/>
    <w:rsid w:val="00A97896"/>
    <w:rsid w:val="00AA5EA0"/>
    <w:rsid w:val="00AA6646"/>
    <w:rsid w:val="00AB00DC"/>
    <w:rsid w:val="00AB6AE3"/>
    <w:rsid w:val="00AE3FBB"/>
    <w:rsid w:val="00AE4E4C"/>
    <w:rsid w:val="00AF0797"/>
    <w:rsid w:val="00AF39B7"/>
    <w:rsid w:val="00B21D59"/>
    <w:rsid w:val="00B23892"/>
    <w:rsid w:val="00B24511"/>
    <w:rsid w:val="00B261A8"/>
    <w:rsid w:val="00B26F7E"/>
    <w:rsid w:val="00B51010"/>
    <w:rsid w:val="00B54155"/>
    <w:rsid w:val="00B60023"/>
    <w:rsid w:val="00B63C1A"/>
    <w:rsid w:val="00B83F47"/>
    <w:rsid w:val="00B858DB"/>
    <w:rsid w:val="00B94893"/>
    <w:rsid w:val="00BA1B50"/>
    <w:rsid w:val="00BA1BDE"/>
    <w:rsid w:val="00BD3E70"/>
    <w:rsid w:val="00BE5A75"/>
    <w:rsid w:val="00BF4BF6"/>
    <w:rsid w:val="00C06354"/>
    <w:rsid w:val="00C12B25"/>
    <w:rsid w:val="00C12B2F"/>
    <w:rsid w:val="00C133B6"/>
    <w:rsid w:val="00C141E0"/>
    <w:rsid w:val="00C23E6E"/>
    <w:rsid w:val="00C275D1"/>
    <w:rsid w:val="00C34EC5"/>
    <w:rsid w:val="00C35FA2"/>
    <w:rsid w:val="00C42B1A"/>
    <w:rsid w:val="00C52B5D"/>
    <w:rsid w:val="00C57614"/>
    <w:rsid w:val="00C652BC"/>
    <w:rsid w:val="00C77BEE"/>
    <w:rsid w:val="00C872B1"/>
    <w:rsid w:val="00C91128"/>
    <w:rsid w:val="00C91B91"/>
    <w:rsid w:val="00C9240C"/>
    <w:rsid w:val="00C96BFB"/>
    <w:rsid w:val="00CA381A"/>
    <w:rsid w:val="00CB2E1B"/>
    <w:rsid w:val="00CB4F88"/>
    <w:rsid w:val="00CB7272"/>
    <w:rsid w:val="00CC38C5"/>
    <w:rsid w:val="00CC42D9"/>
    <w:rsid w:val="00CC4C50"/>
    <w:rsid w:val="00CC7985"/>
    <w:rsid w:val="00CD4862"/>
    <w:rsid w:val="00CE19E8"/>
    <w:rsid w:val="00CE2095"/>
    <w:rsid w:val="00CE2F5D"/>
    <w:rsid w:val="00CF3F08"/>
    <w:rsid w:val="00CF5912"/>
    <w:rsid w:val="00D028C4"/>
    <w:rsid w:val="00D378D6"/>
    <w:rsid w:val="00D37CC3"/>
    <w:rsid w:val="00D45179"/>
    <w:rsid w:val="00D506F9"/>
    <w:rsid w:val="00D534CC"/>
    <w:rsid w:val="00D545E5"/>
    <w:rsid w:val="00D657D4"/>
    <w:rsid w:val="00D706EB"/>
    <w:rsid w:val="00D74D54"/>
    <w:rsid w:val="00D84F46"/>
    <w:rsid w:val="00D93ABE"/>
    <w:rsid w:val="00D954C5"/>
    <w:rsid w:val="00D97008"/>
    <w:rsid w:val="00DA48E4"/>
    <w:rsid w:val="00DB71D2"/>
    <w:rsid w:val="00DC3372"/>
    <w:rsid w:val="00DC381C"/>
    <w:rsid w:val="00DD7DAD"/>
    <w:rsid w:val="00DE4C1C"/>
    <w:rsid w:val="00DE7D65"/>
    <w:rsid w:val="00DF2B13"/>
    <w:rsid w:val="00DF6DEE"/>
    <w:rsid w:val="00E01617"/>
    <w:rsid w:val="00E02522"/>
    <w:rsid w:val="00E11921"/>
    <w:rsid w:val="00E14132"/>
    <w:rsid w:val="00E17DB3"/>
    <w:rsid w:val="00E2474B"/>
    <w:rsid w:val="00E25611"/>
    <w:rsid w:val="00E34EC3"/>
    <w:rsid w:val="00E355C6"/>
    <w:rsid w:val="00E42E05"/>
    <w:rsid w:val="00E468D6"/>
    <w:rsid w:val="00E477A6"/>
    <w:rsid w:val="00E60F88"/>
    <w:rsid w:val="00E75E78"/>
    <w:rsid w:val="00E828B7"/>
    <w:rsid w:val="00E94EE8"/>
    <w:rsid w:val="00EB1B40"/>
    <w:rsid w:val="00EB2E34"/>
    <w:rsid w:val="00EB5648"/>
    <w:rsid w:val="00EB5698"/>
    <w:rsid w:val="00EE18CA"/>
    <w:rsid w:val="00EE772E"/>
    <w:rsid w:val="00EF411E"/>
    <w:rsid w:val="00EF617C"/>
    <w:rsid w:val="00F1107C"/>
    <w:rsid w:val="00F21FA4"/>
    <w:rsid w:val="00F23E4B"/>
    <w:rsid w:val="00F27C5D"/>
    <w:rsid w:val="00F37426"/>
    <w:rsid w:val="00F4402D"/>
    <w:rsid w:val="00F5094D"/>
    <w:rsid w:val="00F51761"/>
    <w:rsid w:val="00F66AF4"/>
    <w:rsid w:val="00F77BD7"/>
    <w:rsid w:val="00F953EC"/>
    <w:rsid w:val="00FA0F64"/>
    <w:rsid w:val="00FA24B2"/>
    <w:rsid w:val="00FD12FC"/>
    <w:rsid w:val="00FE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B292"/>
  <w15:chartTrackingRefBased/>
  <w15:docId w15:val="{E131B910-D2C8-E444-B0DE-1E5A9F9C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430"/>
    <w:rPr>
      <w:rFonts w:ascii="Times New Roman" w:eastAsia="Times New Roman" w:hAnsi="Times New Roman" w:cs="Times New Roman"/>
    </w:rPr>
  </w:style>
  <w:style w:type="paragraph" w:styleId="Heading1">
    <w:name w:val="heading 1"/>
    <w:basedOn w:val="Normal"/>
    <w:next w:val="Normal"/>
    <w:link w:val="Heading1Char"/>
    <w:uiPriority w:val="9"/>
    <w:qFormat/>
    <w:rsid w:val="005728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52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52B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76E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6E6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76E66"/>
    <w:pPr>
      <w:ind w:left="720"/>
      <w:contextualSpacing/>
    </w:pPr>
  </w:style>
  <w:style w:type="paragraph" w:styleId="NormalWeb">
    <w:name w:val="Normal (Web)"/>
    <w:basedOn w:val="Normal"/>
    <w:uiPriority w:val="99"/>
    <w:unhideWhenUsed/>
    <w:rsid w:val="00376E66"/>
    <w:pPr>
      <w:spacing w:before="100" w:beforeAutospacing="1" w:after="100" w:afterAutospacing="1"/>
    </w:pPr>
  </w:style>
  <w:style w:type="paragraph" w:styleId="FootnoteText">
    <w:name w:val="footnote text"/>
    <w:basedOn w:val="Normal"/>
    <w:link w:val="FootnoteTextChar"/>
    <w:uiPriority w:val="99"/>
    <w:unhideWhenUsed/>
    <w:rsid w:val="00376E66"/>
    <w:rPr>
      <w:sz w:val="20"/>
      <w:szCs w:val="20"/>
    </w:rPr>
  </w:style>
  <w:style w:type="character" w:customStyle="1" w:styleId="FootnoteTextChar">
    <w:name w:val="Footnote Text Char"/>
    <w:basedOn w:val="DefaultParagraphFont"/>
    <w:link w:val="FootnoteText"/>
    <w:uiPriority w:val="99"/>
    <w:rsid w:val="00376E6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76E66"/>
    <w:rPr>
      <w:vertAlign w:val="superscript"/>
    </w:rPr>
  </w:style>
  <w:style w:type="character" w:styleId="Hyperlink">
    <w:name w:val="Hyperlink"/>
    <w:basedOn w:val="DefaultParagraphFont"/>
    <w:uiPriority w:val="99"/>
    <w:unhideWhenUsed/>
    <w:rsid w:val="00376E66"/>
    <w:rPr>
      <w:color w:val="0563C1" w:themeColor="hyperlink"/>
      <w:u w:val="single"/>
    </w:rPr>
  </w:style>
  <w:style w:type="paragraph" w:styleId="Header">
    <w:name w:val="header"/>
    <w:basedOn w:val="Normal"/>
    <w:link w:val="HeaderChar"/>
    <w:uiPriority w:val="99"/>
    <w:unhideWhenUsed/>
    <w:rsid w:val="00007829"/>
    <w:pPr>
      <w:tabs>
        <w:tab w:val="center" w:pos="4680"/>
        <w:tab w:val="right" w:pos="9360"/>
      </w:tabs>
    </w:pPr>
  </w:style>
  <w:style w:type="character" w:customStyle="1" w:styleId="HeaderChar">
    <w:name w:val="Header Char"/>
    <w:basedOn w:val="DefaultParagraphFont"/>
    <w:link w:val="Header"/>
    <w:uiPriority w:val="99"/>
    <w:rsid w:val="00007829"/>
  </w:style>
  <w:style w:type="paragraph" w:styleId="Footer">
    <w:name w:val="footer"/>
    <w:basedOn w:val="Normal"/>
    <w:link w:val="FooterChar"/>
    <w:uiPriority w:val="99"/>
    <w:unhideWhenUsed/>
    <w:rsid w:val="00007829"/>
    <w:pPr>
      <w:tabs>
        <w:tab w:val="center" w:pos="4680"/>
        <w:tab w:val="right" w:pos="9360"/>
      </w:tabs>
    </w:pPr>
  </w:style>
  <w:style w:type="character" w:customStyle="1" w:styleId="FooterChar">
    <w:name w:val="Footer Char"/>
    <w:basedOn w:val="DefaultParagraphFont"/>
    <w:link w:val="Footer"/>
    <w:uiPriority w:val="99"/>
    <w:rsid w:val="00007829"/>
  </w:style>
  <w:style w:type="character" w:styleId="FollowedHyperlink">
    <w:name w:val="FollowedHyperlink"/>
    <w:basedOn w:val="DefaultParagraphFont"/>
    <w:uiPriority w:val="99"/>
    <w:semiHidden/>
    <w:unhideWhenUsed/>
    <w:rsid w:val="00397A05"/>
    <w:rPr>
      <w:color w:val="954F72" w:themeColor="followedHyperlink"/>
      <w:u w:val="single"/>
    </w:rPr>
  </w:style>
  <w:style w:type="character" w:styleId="UnresolvedMention">
    <w:name w:val="Unresolved Mention"/>
    <w:basedOn w:val="DefaultParagraphFont"/>
    <w:uiPriority w:val="99"/>
    <w:semiHidden/>
    <w:unhideWhenUsed/>
    <w:rsid w:val="005028CB"/>
    <w:rPr>
      <w:color w:val="605E5C"/>
      <w:shd w:val="clear" w:color="auto" w:fill="E1DFDD"/>
    </w:rPr>
  </w:style>
  <w:style w:type="character" w:customStyle="1" w:styleId="apple-converted-space">
    <w:name w:val="apple-converted-space"/>
    <w:basedOn w:val="DefaultParagraphFont"/>
    <w:rsid w:val="00A97896"/>
  </w:style>
  <w:style w:type="character" w:customStyle="1" w:styleId="Heading1Char">
    <w:name w:val="Heading 1 Char"/>
    <w:basedOn w:val="DefaultParagraphFont"/>
    <w:link w:val="Heading1"/>
    <w:uiPriority w:val="9"/>
    <w:rsid w:val="0057280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B6A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B6AE3"/>
    <w:pPr>
      <w:spacing w:after="200"/>
    </w:pPr>
    <w:rPr>
      <w:i/>
      <w:iCs/>
      <w:color w:val="44546A" w:themeColor="text2"/>
      <w:sz w:val="18"/>
      <w:szCs w:val="18"/>
    </w:rPr>
  </w:style>
  <w:style w:type="character" w:styleId="Emphasis">
    <w:name w:val="Emphasis"/>
    <w:basedOn w:val="DefaultParagraphFont"/>
    <w:uiPriority w:val="20"/>
    <w:qFormat/>
    <w:rsid w:val="002A1B3B"/>
    <w:rPr>
      <w:i/>
      <w:iCs/>
    </w:rPr>
  </w:style>
  <w:style w:type="paragraph" w:customStyle="1" w:styleId="description">
    <w:name w:val="description"/>
    <w:basedOn w:val="Normal"/>
    <w:rsid w:val="002A1B3B"/>
    <w:pPr>
      <w:spacing w:before="100" w:beforeAutospacing="1" w:after="100" w:afterAutospacing="1"/>
    </w:pPr>
  </w:style>
  <w:style w:type="character" w:customStyle="1" w:styleId="vlist-s">
    <w:name w:val="vlist-s"/>
    <w:basedOn w:val="DefaultParagraphFont"/>
    <w:rsid w:val="002A1B3B"/>
  </w:style>
  <w:style w:type="character" w:customStyle="1" w:styleId="mord">
    <w:name w:val="mord"/>
    <w:basedOn w:val="DefaultParagraphFont"/>
    <w:rsid w:val="002A1B3B"/>
  </w:style>
  <w:style w:type="character" w:customStyle="1" w:styleId="mrel">
    <w:name w:val="mrel"/>
    <w:basedOn w:val="DefaultParagraphFont"/>
    <w:rsid w:val="002A1B3B"/>
  </w:style>
  <w:style w:type="character" w:customStyle="1" w:styleId="mbin">
    <w:name w:val="mbin"/>
    <w:basedOn w:val="DefaultParagraphFont"/>
    <w:rsid w:val="002A1B3B"/>
  </w:style>
  <w:style w:type="character" w:styleId="PageNumber">
    <w:name w:val="page number"/>
    <w:basedOn w:val="DefaultParagraphFont"/>
    <w:uiPriority w:val="99"/>
    <w:semiHidden/>
    <w:unhideWhenUsed/>
    <w:rsid w:val="00C652BC"/>
  </w:style>
  <w:style w:type="paragraph" w:styleId="BodyText">
    <w:name w:val="Body Text"/>
    <w:basedOn w:val="Normal"/>
    <w:link w:val="BodyTextChar"/>
    <w:uiPriority w:val="1"/>
    <w:qFormat/>
    <w:rsid w:val="00C652BC"/>
    <w:pPr>
      <w:widowControl w:val="0"/>
      <w:ind w:left="103"/>
    </w:pPr>
  </w:style>
  <w:style w:type="character" w:customStyle="1" w:styleId="BodyTextChar">
    <w:name w:val="Body Text Char"/>
    <w:basedOn w:val="DefaultParagraphFont"/>
    <w:link w:val="BodyText"/>
    <w:uiPriority w:val="1"/>
    <w:rsid w:val="00C652BC"/>
    <w:rPr>
      <w:rFonts w:ascii="Times New Roman" w:eastAsia="Times New Roman" w:hAnsi="Times New Roman"/>
    </w:rPr>
  </w:style>
  <w:style w:type="character" w:customStyle="1" w:styleId="Heading2Char">
    <w:name w:val="Heading 2 Char"/>
    <w:basedOn w:val="DefaultParagraphFont"/>
    <w:link w:val="Heading2"/>
    <w:uiPriority w:val="9"/>
    <w:rsid w:val="00C652B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652BC"/>
    <w:pPr>
      <w:spacing w:before="480" w:line="276" w:lineRule="auto"/>
      <w:outlineLvl w:val="9"/>
    </w:pPr>
    <w:rPr>
      <w:b/>
      <w:bCs/>
      <w:sz w:val="28"/>
      <w:szCs w:val="28"/>
    </w:rPr>
  </w:style>
  <w:style w:type="paragraph" w:styleId="TOC2">
    <w:name w:val="toc 2"/>
    <w:basedOn w:val="Normal"/>
    <w:next w:val="Normal"/>
    <w:autoRedefine/>
    <w:uiPriority w:val="39"/>
    <w:unhideWhenUsed/>
    <w:rsid w:val="00316E23"/>
    <w:pPr>
      <w:tabs>
        <w:tab w:val="right" w:leader="dot" w:pos="9350"/>
      </w:tabs>
      <w:spacing w:before="120"/>
      <w:ind w:left="240"/>
    </w:pPr>
    <w:rPr>
      <w:rFonts w:ascii="Rockwell" w:eastAsiaTheme="minorHAnsi" w:hAnsi="Rockwell" w:cstheme="minorHAnsi"/>
      <w:bCs/>
      <w:noProof/>
      <w:color w:val="2F5496" w:themeColor="accent1" w:themeShade="BF"/>
      <w:sz w:val="22"/>
      <w:szCs w:val="22"/>
    </w:rPr>
  </w:style>
  <w:style w:type="paragraph" w:styleId="TOC1">
    <w:name w:val="toc 1"/>
    <w:basedOn w:val="Normal"/>
    <w:next w:val="Normal"/>
    <w:autoRedefine/>
    <w:uiPriority w:val="39"/>
    <w:unhideWhenUsed/>
    <w:rsid w:val="00316E23"/>
    <w:pPr>
      <w:tabs>
        <w:tab w:val="right" w:leader="dot" w:pos="9350"/>
      </w:tabs>
      <w:spacing w:before="120"/>
    </w:pPr>
    <w:rPr>
      <w:rFonts w:ascii="Rockwell" w:eastAsiaTheme="minorHAnsi" w:hAnsi="Rockwell" w:cstheme="minorHAnsi"/>
      <w:b/>
      <w:bCs/>
      <w:i/>
      <w:iCs/>
      <w:noProof/>
      <w:color w:val="2F5496" w:themeColor="accent1" w:themeShade="BF"/>
    </w:rPr>
  </w:style>
  <w:style w:type="paragraph" w:styleId="TOC3">
    <w:name w:val="toc 3"/>
    <w:basedOn w:val="Normal"/>
    <w:next w:val="Normal"/>
    <w:autoRedefine/>
    <w:uiPriority w:val="39"/>
    <w:unhideWhenUsed/>
    <w:rsid w:val="00316E23"/>
    <w:pPr>
      <w:tabs>
        <w:tab w:val="right" w:leader="dot" w:pos="9350"/>
      </w:tabs>
      <w:ind w:left="480"/>
    </w:pPr>
    <w:rPr>
      <w:rFonts w:eastAsiaTheme="minorHAnsi"/>
      <w:b/>
      <w:i/>
      <w:noProof/>
      <w:color w:val="4472C4" w:themeColor="accent1"/>
      <w:sz w:val="20"/>
      <w:szCs w:val="20"/>
    </w:rPr>
  </w:style>
  <w:style w:type="paragraph" w:styleId="TOC4">
    <w:name w:val="toc 4"/>
    <w:basedOn w:val="Normal"/>
    <w:next w:val="Normal"/>
    <w:autoRedefine/>
    <w:uiPriority w:val="39"/>
    <w:semiHidden/>
    <w:unhideWhenUsed/>
    <w:rsid w:val="00C652BC"/>
    <w:pPr>
      <w:ind w:left="720"/>
    </w:pPr>
    <w:rPr>
      <w:rFonts w:cstheme="minorHAnsi"/>
      <w:sz w:val="20"/>
      <w:szCs w:val="20"/>
    </w:rPr>
  </w:style>
  <w:style w:type="paragraph" w:styleId="TOC5">
    <w:name w:val="toc 5"/>
    <w:basedOn w:val="Normal"/>
    <w:next w:val="Normal"/>
    <w:autoRedefine/>
    <w:uiPriority w:val="39"/>
    <w:semiHidden/>
    <w:unhideWhenUsed/>
    <w:rsid w:val="00C652BC"/>
    <w:pPr>
      <w:ind w:left="960"/>
    </w:pPr>
    <w:rPr>
      <w:rFonts w:cstheme="minorHAnsi"/>
      <w:sz w:val="20"/>
      <w:szCs w:val="20"/>
    </w:rPr>
  </w:style>
  <w:style w:type="paragraph" w:styleId="TOC6">
    <w:name w:val="toc 6"/>
    <w:basedOn w:val="Normal"/>
    <w:next w:val="Normal"/>
    <w:autoRedefine/>
    <w:uiPriority w:val="39"/>
    <w:semiHidden/>
    <w:unhideWhenUsed/>
    <w:rsid w:val="00C652BC"/>
    <w:pPr>
      <w:ind w:left="1200"/>
    </w:pPr>
    <w:rPr>
      <w:rFonts w:cstheme="minorHAnsi"/>
      <w:sz w:val="20"/>
      <w:szCs w:val="20"/>
    </w:rPr>
  </w:style>
  <w:style w:type="paragraph" w:styleId="TOC7">
    <w:name w:val="toc 7"/>
    <w:basedOn w:val="Normal"/>
    <w:next w:val="Normal"/>
    <w:autoRedefine/>
    <w:uiPriority w:val="39"/>
    <w:semiHidden/>
    <w:unhideWhenUsed/>
    <w:rsid w:val="00C652BC"/>
    <w:pPr>
      <w:ind w:left="1440"/>
    </w:pPr>
    <w:rPr>
      <w:rFonts w:cstheme="minorHAnsi"/>
      <w:sz w:val="20"/>
      <w:szCs w:val="20"/>
    </w:rPr>
  </w:style>
  <w:style w:type="paragraph" w:styleId="TOC8">
    <w:name w:val="toc 8"/>
    <w:basedOn w:val="Normal"/>
    <w:next w:val="Normal"/>
    <w:autoRedefine/>
    <w:uiPriority w:val="39"/>
    <w:semiHidden/>
    <w:unhideWhenUsed/>
    <w:rsid w:val="00C652BC"/>
    <w:pPr>
      <w:ind w:left="1680"/>
    </w:pPr>
    <w:rPr>
      <w:rFonts w:cstheme="minorHAnsi"/>
      <w:sz w:val="20"/>
      <w:szCs w:val="20"/>
    </w:rPr>
  </w:style>
  <w:style w:type="paragraph" w:styleId="TOC9">
    <w:name w:val="toc 9"/>
    <w:basedOn w:val="Normal"/>
    <w:next w:val="Normal"/>
    <w:autoRedefine/>
    <w:uiPriority w:val="39"/>
    <w:semiHidden/>
    <w:unhideWhenUsed/>
    <w:rsid w:val="00C652BC"/>
    <w:pPr>
      <w:ind w:left="1920"/>
    </w:pPr>
    <w:rPr>
      <w:rFonts w:cstheme="minorHAnsi"/>
      <w:sz w:val="20"/>
      <w:szCs w:val="20"/>
    </w:rPr>
  </w:style>
  <w:style w:type="character" w:customStyle="1" w:styleId="Heading3Char">
    <w:name w:val="Heading 3 Char"/>
    <w:basedOn w:val="DefaultParagraphFont"/>
    <w:link w:val="Heading3"/>
    <w:uiPriority w:val="9"/>
    <w:rsid w:val="00C652BC"/>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C275D1"/>
    <w:rPr>
      <w:sz w:val="16"/>
      <w:szCs w:val="16"/>
    </w:rPr>
  </w:style>
  <w:style w:type="paragraph" w:styleId="CommentText">
    <w:name w:val="annotation text"/>
    <w:basedOn w:val="Normal"/>
    <w:link w:val="CommentTextChar"/>
    <w:uiPriority w:val="99"/>
    <w:semiHidden/>
    <w:unhideWhenUsed/>
    <w:rsid w:val="00C275D1"/>
    <w:rPr>
      <w:sz w:val="20"/>
      <w:szCs w:val="20"/>
    </w:rPr>
  </w:style>
  <w:style w:type="character" w:customStyle="1" w:styleId="CommentTextChar">
    <w:name w:val="Comment Text Char"/>
    <w:basedOn w:val="DefaultParagraphFont"/>
    <w:link w:val="CommentText"/>
    <w:uiPriority w:val="99"/>
    <w:semiHidden/>
    <w:rsid w:val="00C275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275D1"/>
    <w:rPr>
      <w:b/>
      <w:bCs/>
    </w:rPr>
  </w:style>
  <w:style w:type="character" w:customStyle="1" w:styleId="CommentSubjectChar">
    <w:name w:val="Comment Subject Char"/>
    <w:basedOn w:val="CommentTextChar"/>
    <w:link w:val="CommentSubject"/>
    <w:uiPriority w:val="99"/>
    <w:semiHidden/>
    <w:rsid w:val="00C275D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275D1"/>
    <w:rPr>
      <w:sz w:val="18"/>
      <w:szCs w:val="18"/>
    </w:rPr>
  </w:style>
  <w:style w:type="character" w:customStyle="1" w:styleId="BalloonTextChar">
    <w:name w:val="Balloon Text Char"/>
    <w:basedOn w:val="DefaultParagraphFont"/>
    <w:link w:val="BalloonText"/>
    <w:uiPriority w:val="99"/>
    <w:semiHidden/>
    <w:rsid w:val="00C275D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8196">
      <w:bodyDiv w:val="1"/>
      <w:marLeft w:val="0"/>
      <w:marRight w:val="0"/>
      <w:marTop w:val="0"/>
      <w:marBottom w:val="0"/>
      <w:divBdr>
        <w:top w:val="none" w:sz="0" w:space="0" w:color="auto"/>
        <w:left w:val="none" w:sz="0" w:space="0" w:color="auto"/>
        <w:bottom w:val="none" w:sz="0" w:space="0" w:color="auto"/>
        <w:right w:val="none" w:sz="0" w:space="0" w:color="auto"/>
      </w:divBdr>
    </w:div>
    <w:div w:id="244343224">
      <w:bodyDiv w:val="1"/>
      <w:marLeft w:val="0"/>
      <w:marRight w:val="0"/>
      <w:marTop w:val="0"/>
      <w:marBottom w:val="0"/>
      <w:divBdr>
        <w:top w:val="none" w:sz="0" w:space="0" w:color="auto"/>
        <w:left w:val="none" w:sz="0" w:space="0" w:color="auto"/>
        <w:bottom w:val="none" w:sz="0" w:space="0" w:color="auto"/>
        <w:right w:val="none" w:sz="0" w:space="0" w:color="auto"/>
      </w:divBdr>
      <w:divsChild>
        <w:div w:id="1538621336">
          <w:marLeft w:val="0"/>
          <w:marRight w:val="0"/>
          <w:marTop w:val="0"/>
          <w:marBottom w:val="0"/>
          <w:divBdr>
            <w:top w:val="none" w:sz="0" w:space="0" w:color="auto"/>
            <w:left w:val="none" w:sz="0" w:space="0" w:color="auto"/>
            <w:bottom w:val="none" w:sz="0" w:space="0" w:color="auto"/>
            <w:right w:val="none" w:sz="0" w:space="0" w:color="auto"/>
          </w:divBdr>
          <w:divsChild>
            <w:div w:id="600114085">
              <w:marLeft w:val="0"/>
              <w:marRight w:val="0"/>
              <w:marTop w:val="0"/>
              <w:marBottom w:val="0"/>
              <w:divBdr>
                <w:top w:val="none" w:sz="0" w:space="0" w:color="auto"/>
                <w:left w:val="none" w:sz="0" w:space="0" w:color="auto"/>
                <w:bottom w:val="none" w:sz="0" w:space="0" w:color="auto"/>
                <w:right w:val="none" w:sz="0" w:space="0" w:color="auto"/>
              </w:divBdr>
              <w:divsChild>
                <w:div w:id="11162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8586">
      <w:bodyDiv w:val="1"/>
      <w:marLeft w:val="0"/>
      <w:marRight w:val="0"/>
      <w:marTop w:val="0"/>
      <w:marBottom w:val="0"/>
      <w:divBdr>
        <w:top w:val="none" w:sz="0" w:space="0" w:color="auto"/>
        <w:left w:val="none" w:sz="0" w:space="0" w:color="auto"/>
        <w:bottom w:val="none" w:sz="0" w:space="0" w:color="auto"/>
        <w:right w:val="none" w:sz="0" w:space="0" w:color="auto"/>
      </w:divBdr>
    </w:div>
    <w:div w:id="289433484">
      <w:bodyDiv w:val="1"/>
      <w:marLeft w:val="0"/>
      <w:marRight w:val="0"/>
      <w:marTop w:val="0"/>
      <w:marBottom w:val="0"/>
      <w:divBdr>
        <w:top w:val="none" w:sz="0" w:space="0" w:color="auto"/>
        <w:left w:val="none" w:sz="0" w:space="0" w:color="auto"/>
        <w:bottom w:val="none" w:sz="0" w:space="0" w:color="auto"/>
        <w:right w:val="none" w:sz="0" w:space="0" w:color="auto"/>
      </w:divBdr>
    </w:div>
    <w:div w:id="292714001">
      <w:bodyDiv w:val="1"/>
      <w:marLeft w:val="0"/>
      <w:marRight w:val="0"/>
      <w:marTop w:val="0"/>
      <w:marBottom w:val="0"/>
      <w:divBdr>
        <w:top w:val="none" w:sz="0" w:space="0" w:color="auto"/>
        <w:left w:val="none" w:sz="0" w:space="0" w:color="auto"/>
        <w:bottom w:val="none" w:sz="0" w:space="0" w:color="auto"/>
        <w:right w:val="none" w:sz="0" w:space="0" w:color="auto"/>
      </w:divBdr>
    </w:div>
    <w:div w:id="302583097">
      <w:bodyDiv w:val="1"/>
      <w:marLeft w:val="0"/>
      <w:marRight w:val="0"/>
      <w:marTop w:val="0"/>
      <w:marBottom w:val="0"/>
      <w:divBdr>
        <w:top w:val="none" w:sz="0" w:space="0" w:color="auto"/>
        <w:left w:val="none" w:sz="0" w:space="0" w:color="auto"/>
        <w:bottom w:val="none" w:sz="0" w:space="0" w:color="auto"/>
        <w:right w:val="none" w:sz="0" w:space="0" w:color="auto"/>
      </w:divBdr>
    </w:div>
    <w:div w:id="447701052">
      <w:bodyDiv w:val="1"/>
      <w:marLeft w:val="0"/>
      <w:marRight w:val="0"/>
      <w:marTop w:val="0"/>
      <w:marBottom w:val="0"/>
      <w:divBdr>
        <w:top w:val="none" w:sz="0" w:space="0" w:color="auto"/>
        <w:left w:val="none" w:sz="0" w:space="0" w:color="auto"/>
        <w:bottom w:val="none" w:sz="0" w:space="0" w:color="auto"/>
        <w:right w:val="none" w:sz="0" w:space="0" w:color="auto"/>
      </w:divBdr>
    </w:div>
    <w:div w:id="466581601">
      <w:bodyDiv w:val="1"/>
      <w:marLeft w:val="0"/>
      <w:marRight w:val="0"/>
      <w:marTop w:val="0"/>
      <w:marBottom w:val="0"/>
      <w:divBdr>
        <w:top w:val="none" w:sz="0" w:space="0" w:color="auto"/>
        <w:left w:val="none" w:sz="0" w:space="0" w:color="auto"/>
        <w:bottom w:val="none" w:sz="0" w:space="0" w:color="auto"/>
        <w:right w:val="none" w:sz="0" w:space="0" w:color="auto"/>
      </w:divBdr>
    </w:div>
    <w:div w:id="474296261">
      <w:bodyDiv w:val="1"/>
      <w:marLeft w:val="0"/>
      <w:marRight w:val="0"/>
      <w:marTop w:val="0"/>
      <w:marBottom w:val="0"/>
      <w:divBdr>
        <w:top w:val="none" w:sz="0" w:space="0" w:color="auto"/>
        <w:left w:val="none" w:sz="0" w:space="0" w:color="auto"/>
        <w:bottom w:val="none" w:sz="0" w:space="0" w:color="auto"/>
        <w:right w:val="none" w:sz="0" w:space="0" w:color="auto"/>
      </w:divBdr>
    </w:div>
    <w:div w:id="738095090">
      <w:bodyDiv w:val="1"/>
      <w:marLeft w:val="0"/>
      <w:marRight w:val="0"/>
      <w:marTop w:val="0"/>
      <w:marBottom w:val="0"/>
      <w:divBdr>
        <w:top w:val="none" w:sz="0" w:space="0" w:color="auto"/>
        <w:left w:val="none" w:sz="0" w:space="0" w:color="auto"/>
        <w:bottom w:val="none" w:sz="0" w:space="0" w:color="auto"/>
        <w:right w:val="none" w:sz="0" w:space="0" w:color="auto"/>
      </w:divBdr>
    </w:div>
    <w:div w:id="769396021">
      <w:bodyDiv w:val="1"/>
      <w:marLeft w:val="0"/>
      <w:marRight w:val="0"/>
      <w:marTop w:val="0"/>
      <w:marBottom w:val="0"/>
      <w:divBdr>
        <w:top w:val="none" w:sz="0" w:space="0" w:color="auto"/>
        <w:left w:val="none" w:sz="0" w:space="0" w:color="auto"/>
        <w:bottom w:val="none" w:sz="0" w:space="0" w:color="auto"/>
        <w:right w:val="none" w:sz="0" w:space="0" w:color="auto"/>
      </w:divBdr>
    </w:div>
    <w:div w:id="938760985">
      <w:bodyDiv w:val="1"/>
      <w:marLeft w:val="0"/>
      <w:marRight w:val="0"/>
      <w:marTop w:val="0"/>
      <w:marBottom w:val="0"/>
      <w:divBdr>
        <w:top w:val="none" w:sz="0" w:space="0" w:color="auto"/>
        <w:left w:val="none" w:sz="0" w:space="0" w:color="auto"/>
        <w:bottom w:val="none" w:sz="0" w:space="0" w:color="auto"/>
        <w:right w:val="none" w:sz="0" w:space="0" w:color="auto"/>
      </w:divBdr>
    </w:div>
    <w:div w:id="1185677457">
      <w:bodyDiv w:val="1"/>
      <w:marLeft w:val="0"/>
      <w:marRight w:val="0"/>
      <w:marTop w:val="0"/>
      <w:marBottom w:val="0"/>
      <w:divBdr>
        <w:top w:val="none" w:sz="0" w:space="0" w:color="auto"/>
        <w:left w:val="none" w:sz="0" w:space="0" w:color="auto"/>
        <w:bottom w:val="none" w:sz="0" w:space="0" w:color="auto"/>
        <w:right w:val="none" w:sz="0" w:space="0" w:color="auto"/>
      </w:divBdr>
    </w:div>
    <w:div w:id="1216237941">
      <w:bodyDiv w:val="1"/>
      <w:marLeft w:val="0"/>
      <w:marRight w:val="0"/>
      <w:marTop w:val="0"/>
      <w:marBottom w:val="0"/>
      <w:divBdr>
        <w:top w:val="none" w:sz="0" w:space="0" w:color="auto"/>
        <w:left w:val="none" w:sz="0" w:space="0" w:color="auto"/>
        <w:bottom w:val="none" w:sz="0" w:space="0" w:color="auto"/>
        <w:right w:val="none" w:sz="0" w:space="0" w:color="auto"/>
      </w:divBdr>
      <w:divsChild>
        <w:div w:id="1432243621">
          <w:marLeft w:val="0"/>
          <w:marRight w:val="0"/>
          <w:marTop w:val="0"/>
          <w:marBottom w:val="0"/>
          <w:divBdr>
            <w:top w:val="none" w:sz="0" w:space="0" w:color="auto"/>
            <w:left w:val="none" w:sz="0" w:space="0" w:color="auto"/>
            <w:bottom w:val="none" w:sz="0" w:space="0" w:color="auto"/>
            <w:right w:val="none" w:sz="0" w:space="0" w:color="auto"/>
          </w:divBdr>
          <w:divsChild>
            <w:div w:id="1949659947">
              <w:marLeft w:val="0"/>
              <w:marRight w:val="0"/>
              <w:marTop w:val="0"/>
              <w:marBottom w:val="0"/>
              <w:divBdr>
                <w:top w:val="none" w:sz="0" w:space="0" w:color="auto"/>
                <w:left w:val="none" w:sz="0" w:space="0" w:color="auto"/>
                <w:bottom w:val="none" w:sz="0" w:space="0" w:color="auto"/>
                <w:right w:val="none" w:sz="0" w:space="0" w:color="auto"/>
              </w:divBdr>
              <w:divsChild>
                <w:div w:id="1368140636">
                  <w:marLeft w:val="0"/>
                  <w:marRight w:val="0"/>
                  <w:marTop w:val="0"/>
                  <w:marBottom w:val="0"/>
                  <w:divBdr>
                    <w:top w:val="none" w:sz="0" w:space="0" w:color="auto"/>
                    <w:left w:val="none" w:sz="0" w:space="0" w:color="auto"/>
                    <w:bottom w:val="none" w:sz="0" w:space="0" w:color="auto"/>
                    <w:right w:val="none" w:sz="0" w:space="0" w:color="auto"/>
                  </w:divBdr>
                  <w:divsChild>
                    <w:div w:id="18167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629150">
      <w:bodyDiv w:val="1"/>
      <w:marLeft w:val="0"/>
      <w:marRight w:val="0"/>
      <w:marTop w:val="0"/>
      <w:marBottom w:val="0"/>
      <w:divBdr>
        <w:top w:val="none" w:sz="0" w:space="0" w:color="auto"/>
        <w:left w:val="none" w:sz="0" w:space="0" w:color="auto"/>
        <w:bottom w:val="none" w:sz="0" w:space="0" w:color="auto"/>
        <w:right w:val="none" w:sz="0" w:space="0" w:color="auto"/>
      </w:divBdr>
    </w:div>
    <w:div w:id="1427113189">
      <w:bodyDiv w:val="1"/>
      <w:marLeft w:val="0"/>
      <w:marRight w:val="0"/>
      <w:marTop w:val="0"/>
      <w:marBottom w:val="0"/>
      <w:divBdr>
        <w:top w:val="none" w:sz="0" w:space="0" w:color="auto"/>
        <w:left w:val="none" w:sz="0" w:space="0" w:color="auto"/>
        <w:bottom w:val="none" w:sz="0" w:space="0" w:color="auto"/>
        <w:right w:val="none" w:sz="0" w:space="0" w:color="auto"/>
      </w:divBdr>
    </w:div>
    <w:div w:id="1461417952">
      <w:bodyDiv w:val="1"/>
      <w:marLeft w:val="0"/>
      <w:marRight w:val="0"/>
      <w:marTop w:val="0"/>
      <w:marBottom w:val="0"/>
      <w:divBdr>
        <w:top w:val="none" w:sz="0" w:space="0" w:color="auto"/>
        <w:left w:val="none" w:sz="0" w:space="0" w:color="auto"/>
        <w:bottom w:val="none" w:sz="0" w:space="0" w:color="auto"/>
        <w:right w:val="none" w:sz="0" w:space="0" w:color="auto"/>
      </w:divBdr>
    </w:div>
    <w:div w:id="1509057252">
      <w:bodyDiv w:val="1"/>
      <w:marLeft w:val="0"/>
      <w:marRight w:val="0"/>
      <w:marTop w:val="0"/>
      <w:marBottom w:val="0"/>
      <w:divBdr>
        <w:top w:val="none" w:sz="0" w:space="0" w:color="auto"/>
        <w:left w:val="none" w:sz="0" w:space="0" w:color="auto"/>
        <w:bottom w:val="none" w:sz="0" w:space="0" w:color="auto"/>
        <w:right w:val="none" w:sz="0" w:space="0" w:color="auto"/>
      </w:divBdr>
    </w:div>
    <w:div w:id="1526095495">
      <w:bodyDiv w:val="1"/>
      <w:marLeft w:val="0"/>
      <w:marRight w:val="0"/>
      <w:marTop w:val="0"/>
      <w:marBottom w:val="0"/>
      <w:divBdr>
        <w:top w:val="none" w:sz="0" w:space="0" w:color="auto"/>
        <w:left w:val="none" w:sz="0" w:space="0" w:color="auto"/>
        <w:bottom w:val="none" w:sz="0" w:space="0" w:color="auto"/>
        <w:right w:val="none" w:sz="0" w:space="0" w:color="auto"/>
      </w:divBdr>
    </w:div>
    <w:div w:id="1649704910">
      <w:bodyDiv w:val="1"/>
      <w:marLeft w:val="0"/>
      <w:marRight w:val="0"/>
      <w:marTop w:val="0"/>
      <w:marBottom w:val="0"/>
      <w:divBdr>
        <w:top w:val="none" w:sz="0" w:space="0" w:color="auto"/>
        <w:left w:val="none" w:sz="0" w:space="0" w:color="auto"/>
        <w:bottom w:val="none" w:sz="0" w:space="0" w:color="auto"/>
        <w:right w:val="none" w:sz="0" w:space="0" w:color="auto"/>
      </w:divBdr>
    </w:div>
    <w:div w:id="1964338937">
      <w:bodyDiv w:val="1"/>
      <w:marLeft w:val="0"/>
      <w:marRight w:val="0"/>
      <w:marTop w:val="0"/>
      <w:marBottom w:val="0"/>
      <w:divBdr>
        <w:top w:val="none" w:sz="0" w:space="0" w:color="auto"/>
        <w:left w:val="none" w:sz="0" w:space="0" w:color="auto"/>
        <w:bottom w:val="none" w:sz="0" w:space="0" w:color="auto"/>
        <w:right w:val="none" w:sz="0" w:space="0" w:color="auto"/>
      </w:divBdr>
    </w:div>
    <w:div w:id="21089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978-3-319-98690-6_7" TargetMode="External"/><Relationship Id="rId18" Type="http://schemas.openxmlformats.org/officeDocument/2006/relationships/hyperlink" Target="https://www-sciencedirect-com.ezaccess.libraries.psu.edu/science/article/pii/S0304405X06002170?via%3Dihub" TargetMode="External"/><Relationship Id="rId26" Type="http://schemas.openxmlformats.org/officeDocument/2006/relationships/hyperlink" Target="https://www.heritage.org/index/pdf/2021/book/2021_IndexofEconomicFreedom_CHAPTER02.pdf" TargetMode="External"/><Relationship Id="rId39" Type="http://schemas.openxmlformats.org/officeDocument/2006/relationships/image" Target="media/image2.png"/><Relationship Id="rId21" Type="http://schemas.openxmlformats.org/officeDocument/2006/relationships/hyperlink" Target="http://www.fao.org/in-action/herramienta-administracion-tierras/introduction/concept-land-administration/en/" TargetMode="External"/><Relationship Id="rId34" Type="http://schemas.openxmlformats.org/officeDocument/2006/relationships/hyperlink" Target="http://www.imf.org/external/pubs/ft/fandd/2001/03/desoto.htm" TargetMode="Externa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ews.mongabay.com/2020/10/digital-land-grab-deprives-traditional-latam-peoples-of-ancestral-lands-report/" TargetMode="External"/><Relationship Id="rId29" Type="http://schemas.openxmlformats.org/officeDocument/2006/relationships/hyperlink" Target="http://dx.doi.org/10.1080/01436597.2015.1046984" TargetMode="External"/><Relationship Id="rId11" Type="http://schemas.openxmlformats.org/officeDocument/2006/relationships/footer" Target="footer2.xml"/><Relationship Id="rId24" Type="http://schemas.openxmlformats.org/officeDocument/2006/relationships/hyperlink" Target="https://www.researchgate.net/publication/273093918_Property_rights_and_the_mystery_of_capital_A_review_of_de_Soto%27s_simplistic_solution_to_development" TargetMode="External"/><Relationship Id="rId32" Type="http://schemas.openxmlformats.org/officeDocument/2006/relationships/hyperlink" Target="https://www.doingbusiness.org/en/methodology/registering-property" TargetMode="External"/><Relationship Id="rId37" Type="http://schemas.openxmlformats.org/officeDocument/2006/relationships/hyperlink" Target="https://www.doingbusiness.org/en/reports/global-reports/doing-business-2020" TargetMode="External"/><Relationship Id="rId40" Type="http://schemas.openxmlformats.org/officeDocument/2006/relationships/image" Target="media/image3.png"/><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foreignpolicy.com/2009/11/17/property-wrongs/" TargetMode="External"/><Relationship Id="rId23" Type="http://schemas.openxmlformats.org/officeDocument/2006/relationships/hyperlink" Target="https://scholar.harvard.edu/files/field/files/fieldtorerocs.pdf" TargetMode="External"/><Relationship Id="rId28" Type="http://schemas.openxmlformats.org/officeDocument/2006/relationships/hyperlink" Target="https://doi.org/10.1023/A:1015168000336" TargetMode="External"/><Relationship Id="rId36" Type="http://schemas.openxmlformats.org/officeDocument/2006/relationships/hyperlink" Target="https://www.doingbusiness.org/en/reports/global-reports/doing-business-2019"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doingbusiness.org/en/data" TargetMode="External"/><Relationship Id="rId31" Type="http://schemas.openxmlformats.org/officeDocument/2006/relationships/hyperlink" Target="https://data.worldbank.org/indicator/IC.CRD.PUBL.ZS" TargetMode="Externa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icerd.lse.ac.uk/dps/eopp/eopp08.pdf" TargetMode="External"/><Relationship Id="rId22" Type="http://schemas.openxmlformats.org/officeDocument/2006/relationships/hyperlink" Target="https://www.lincolninst.edu/publications/articles/influence-sotos-mystery-capital" TargetMode="External"/><Relationship Id="rId27" Type="http://schemas.openxmlformats.org/officeDocument/2006/relationships/hyperlink" Target="https://documents.worldbank.org/en/publication/documents-reports/documentdetail/450041467995100809/how-innovations-in-land-administration-reform-improve-on-doing-business-cases-from-lithuania-the-republic-of-korea-rwanda-and-the-united-kingdom" TargetMode="External"/><Relationship Id="rId30" Type="http://schemas.openxmlformats.org/officeDocument/2006/relationships/hyperlink" Target="https://data.worldbank.org/indicator/SP.POP.TOTL" TargetMode="External"/><Relationship Id="rId35" Type="http://schemas.openxmlformats.org/officeDocument/2006/relationships/hyperlink" Target="https://blogs.worldbank.org/voices/7-reasons-land-and-property-rights-be-top-global-agenda" TargetMode="External"/><Relationship Id="rId43" Type="http://schemas.openxmlformats.org/officeDocument/2006/relationships/image" Target="media/image6.png"/><Relationship Id="rId48" Type="http://schemas.openxmlformats.org/officeDocument/2006/relationships/footer" Target="footer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sarpn.org/documents/d0001801/Land_changing_Sept2005.pdf" TargetMode="External"/><Relationship Id="rId25" Type="http://schemas.openxmlformats.org/officeDocument/2006/relationships/hyperlink" Target="https://econamericas.com/2018/08/latin-america-property-rights-fall-behind/" TargetMode="External"/><Relationship Id="rId33" Type="http://schemas.openxmlformats.org/officeDocument/2006/relationships/hyperlink" Target="https://data.worldbank.org/indicator/SP.RUR.TOTL.ZS" TargetMode="External"/><Relationship Id="rId38" Type="http://schemas.openxmlformats.org/officeDocument/2006/relationships/image" Target="media/image1.png"/><Relationship Id="rId46" Type="http://schemas.openxmlformats.org/officeDocument/2006/relationships/image" Target="media/image9.png"/><Relationship Id="rId20" Type="http://schemas.openxmlformats.org/officeDocument/2006/relationships/hyperlink" Target="https://www.esri.com/~/media/Files/Pdfs/library/ebooks/gis-in-south-america.pdf"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s://scholar.harvard.edu/files/field/files/fieldtorerocs.pdf" TargetMode="External"/><Relationship Id="rId18" Type="http://schemas.openxmlformats.org/officeDocument/2006/relationships/hyperlink" Target="https://www.doingbusiness.org/en/reports/global-reports/doing-business-2020" TargetMode="External"/><Relationship Id="rId26" Type="http://schemas.openxmlformats.org/officeDocument/2006/relationships/hyperlink" Target="https://www.doingbusiness.org/en/data" TargetMode="External"/><Relationship Id="rId3" Type="http://schemas.openxmlformats.org/officeDocument/2006/relationships/hyperlink" Target="https://www.researchgate.net/publication/273093918_Property_rights_and_the_mystery_of_capital_A_review_of_de_Soto%27s_simplistic_solution_to_development" TargetMode="External"/><Relationship Id="rId21" Type="http://schemas.openxmlformats.org/officeDocument/2006/relationships/hyperlink" Target="https://www.doingbusiness.org/en/methodology/registering-property" TargetMode="External"/><Relationship Id="rId34" Type="http://schemas.openxmlformats.org/officeDocument/2006/relationships/hyperlink" Target="https://news.mongabay.com/2020/10/digital-land-grab-deprives-traditional-latam-peoples-of-ancestral-lands-report/" TargetMode="External"/><Relationship Id="rId7" Type="http://schemas.openxmlformats.org/officeDocument/2006/relationships/hyperlink" Target="https://econamericas.com/2018/08/latin-america-property-rights-fall-behind/" TargetMode="External"/><Relationship Id="rId12" Type="http://schemas.openxmlformats.org/officeDocument/2006/relationships/hyperlink" Target="http://www.imf.org/external/pubs/ft/fandd/2001/03/desoto.htm" TargetMode="External"/><Relationship Id="rId17" Type="http://schemas.openxmlformats.org/officeDocument/2006/relationships/hyperlink" Target="https://doi.org/10.1023/A:1015168000336" TargetMode="External"/><Relationship Id="rId25" Type="http://schemas.openxmlformats.org/officeDocument/2006/relationships/hyperlink" Target="https://www.doingbusiness.org/en/data" TargetMode="External"/><Relationship Id="rId33" Type="http://schemas.openxmlformats.org/officeDocument/2006/relationships/hyperlink" Target="https://www.esri.com/en-us/industries/land-administration/overview" TargetMode="External"/><Relationship Id="rId2" Type="http://schemas.openxmlformats.org/officeDocument/2006/relationships/hyperlink" Target="https://www.heritage.org/index/pdf/2021/book/2021_IndexofEconomicFreedom_CHAPTER02.pdf" TargetMode="External"/><Relationship Id="rId16" Type="http://schemas.openxmlformats.org/officeDocument/2006/relationships/hyperlink" Target="https://www-sciencedirect-com.ezaccess.libraries.psu.edu/science/article/pii/S0304405X06002170?via%3Dihub" TargetMode="External"/><Relationship Id="rId20" Type="http://schemas.openxmlformats.org/officeDocument/2006/relationships/hyperlink" Target="http://www.fao.org/in-action/herramienta-administracion-tierras/introduction/concept-land-administration/en/" TargetMode="External"/><Relationship Id="rId29" Type="http://schemas.openxmlformats.org/officeDocument/2006/relationships/hyperlink" Target="https://data.worldbank.org/indicator/SP.RUR.TOTL.ZS" TargetMode="External"/><Relationship Id="rId1" Type="http://schemas.openxmlformats.org/officeDocument/2006/relationships/hyperlink" Target="https://blogs.worldbank.org/voices/7-reasons-land-and-property-rights-be-top-global-agenda" TargetMode="External"/><Relationship Id="rId6" Type="http://schemas.openxmlformats.org/officeDocument/2006/relationships/hyperlink" Target="https://doi.org/10.1023/A:1015168000336" TargetMode="External"/><Relationship Id="rId11" Type="http://schemas.openxmlformats.org/officeDocument/2006/relationships/hyperlink" Target="https://sarpn.org/documents/d0001801/Land_changing_Sept2005.pdf" TargetMode="External"/><Relationship Id="rId24" Type="http://schemas.openxmlformats.org/officeDocument/2006/relationships/hyperlink" Target="https://www.doingbusiness.org/en/data" TargetMode="External"/><Relationship Id="rId32" Type="http://schemas.openxmlformats.org/officeDocument/2006/relationships/hyperlink" Target="https://data.worldbank.org/indicator/SP.RUR.TOTL.ZS" TargetMode="External"/><Relationship Id="rId5" Type="http://schemas.openxmlformats.org/officeDocument/2006/relationships/hyperlink" Target="http://sticerd.lse.ac.uk/dps/eopp/eopp08.pdf" TargetMode="External"/><Relationship Id="rId15" Type="http://schemas.openxmlformats.org/officeDocument/2006/relationships/hyperlink" Target="https://foreignpolicy.com/2009/11/17/property-wrongs/" TargetMode="External"/><Relationship Id="rId23" Type="http://schemas.openxmlformats.org/officeDocument/2006/relationships/hyperlink" Target="https://data.worldbank.org/indicator/IC.CRD.PUBL.ZS" TargetMode="External"/><Relationship Id="rId28" Type="http://schemas.openxmlformats.org/officeDocument/2006/relationships/hyperlink" Target="https://data.worldbank.org/indicator/SP.POP.TOTL" TargetMode="External"/><Relationship Id="rId10" Type="http://schemas.openxmlformats.org/officeDocument/2006/relationships/hyperlink" Target="https://www.lincolninst.edu/publications/articles/influence-sotos-mystery-capital" TargetMode="External"/><Relationship Id="rId19" Type="http://schemas.openxmlformats.org/officeDocument/2006/relationships/hyperlink" Target="https://www.doingbusiness.org/en/methodology/registering-property" TargetMode="External"/><Relationship Id="rId31" Type="http://schemas.openxmlformats.org/officeDocument/2006/relationships/hyperlink" Target="http://sticerd.lse.ac.uk/dps/eopp/eopp08.pdf" TargetMode="External"/><Relationship Id="rId4" Type="http://schemas.openxmlformats.org/officeDocument/2006/relationships/hyperlink" Target="https://documents.worldbank.org/en/publication/documents-reports/documentdetail/450041467995100809/how-innovations-in-land-administration-reform-improve-on-doing-business-cases-from-lithuania-the-republic-of-korea-rwanda-and-the-united-kingdom" TargetMode="External"/><Relationship Id="rId9" Type="http://schemas.openxmlformats.org/officeDocument/2006/relationships/hyperlink" Target="https://doi.org/10.1007/978-3-319-98690-6_7" TargetMode="External"/><Relationship Id="rId14" Type="http://schemas.openxmlformats.org/officeDocument/2006/relationships/hyperlink" Target="http://dx.doi.org/10.1080/01436597.2015.1046984" TargetMode="External"/><Relationship Id="rId22" Type="http://schemas.openxmlformats.org/officeDocument/2006/relationships/hyperlink" Target="https://www.doingbusiness.org/en/data" TargetMode="External"/><Relationship Id="rId27" Type="http://schemas.openxmlformats.org/officeDocument/2006/relationships/hyperlink" Target="https://www.doingbusiness.org/en/data" TargetMode="External"/><Relationship Id="rId30" Type="http://schemas.openxmlformats.org/officeDocument/2006/relationships/hyperlink" Target="https://data.worldbank.org/indicator/SP.RUR.TOTL.ZS" TargetMode="External"/><Relationship Id="rId35" Type="http://schemas.openxmlformats.org/officeDocument/2006/relationships/hyperlink" Target="https://www.esri.com/~/media/Files/Pdfs/library/ebooks/gis-in-south-america.pdf" TargetMode="External"/><Relationship Id="rId8" Type="http://schemas.openxmlformats.org/officeDocument/2006/relationships/hyperlink" Target="https://www.doingbusiness.org/e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206E82E-D823-344C-A6E0-D1C6CBF28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8999</Words>
  <Characters>50667</Characters>
  <Application>Microsoft Office Word</Application>
  <DocSecurity>0</DocSecurity>
  <Lines>767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Ostergren</dc:creator>
  <cp:keywords/>
  <dc:description/>
  <cp:lastModifiedBy>Sara Ostergren</cp:lastModifiedBy>
  <cp:revision>6</cp:revision>
  <dcterms:created xsi:type="dcterms:W3CDTF">2021-07-25T00:09:00Z</dcterms:created>
  <dcterms:modified xsi:type="dcterms:W3CDTF">2021-07-25T00:15:00Z</dcterms:modified>
</cp:coreProperties>
</file>