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00001">
      <w:pPr>
        <w:spacing w:after="60"/>
        <w:jc w:val="center"/>
      </w:pPr>
      <w:r>
        <w:rPr>
          <w:rFonts w:ascii="Times New Roman" w:hAnsi="Times New Roman" w:eastAsia="Arial" w:cs="Times New Roman"/>
          <w:b/>
          <w:bCs/>
          <w:sz w:val="56"/>
          <w:szCs w:val="56"/>
        </w:rPr>
        <w:t>第二周进展报告</w:t>
      </w:r>
    </w:p>
    <w:p w14:paraId="43100002">
      <w:pPr>
        <w:spacing w:after="40"/>
        <w:jc w:val="center"/>
      </w:pPr>
      <w:r>
        <w:rPr>
          <w:rFonts w:ascii="Times New Roman" w:hAnsi="Times New Roman" w:eastAsia="Arial" w:cs="Times New Roman"/>
          <w:sz w:val="26"/>
          <w:szCs w:val="26"/>
        </w:rPr>
        <w:t>项目：基于大语言模型的软件工程智能体</w:t>
      </w:r>
    </w:p>
    <w:p w14:paraId="43100003">
      <w:pPr>
        <w:spacing w:after="40"/>
        <w:jc w:val="center"/>
      </w:pPr>
      <w:r>
        <w:rPr>
          <w:rFonts w:ascii="Times New Roman" w:hAnsi="Times New Roman" w:eastAsia="Arial" w:cs="Times New Roman"/>
          <w:b/>
          <w:bCs/>
          <w:sz w:val="24"/>
          <w:szCs w:val="24"/>
        </w:rPr>
        <w:t>角色：M6 — 文档与集成支持</w:t>
      </w:r>
    </w:p>
    <w:p w14:paraId="43100004">
      <w:pPr>
        <w:spacing w:after="200"/>
        <w:jc w:val="center"/>
      </w:pPr>
      <w:r>
        <w:rPr>
          <w:rFonts w:ascii="Times New Roman" w:hAnsi="Times New Roman" w:eastAsia="Arial" w:cs="Times New Roman"/>
        </w:rPr>
        <w:t>日期：2026年5月26日</w:t>
      </w:r>
    </w:p>
    <w:p>
      <w:pPr>
        <w:pBdr>
          <w:bottom w:val="single" w:color="2E75B6" w:sz="4" w:space="1"/>
        </w:pBdr>
        <w:spacing w:before="120" w:after="120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概述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第二周已顺利完成。作为M6（文档与集成支持），本周主要工作包括：审阅所有已收到的第二周进展报告（M1、M2、M4、M5），更新集成参考文档以反映新的数据模式与基础设施变更，记录跨成员差异问题，并持续完善技术报告骨架。所有第二周分配给M6的交付物均已完成。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主要成果：更新了集成参考文档，涵盖M2的新PRD输出模式、M5的多提供商LLM封装器及M4提出的test_output.json合约；整理了差异问题日志，记录M1指出的M2 GPT-4默认值问题和M3模式不匹配问题；并扩展了技术报告中Agent A、Agent C及DevOps相关章节。</w:t>
      </w:r>
    </w:p>
    <w:p>
      <w:pPr>
        <w:pBdr>
          <w:bottom w:val="single" w:color="2E75B6" w:sz="4" w:space="1"/>
        </w:pBdr>
        <w:spacing w:before="120" w:after="120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已完成任务</w:t>
      </w: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任务一 — 第二周报告审阅与集成参考更新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审阅所有已收到的第二周进展报告，并更新 docs/integration_reference.md：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M1（组长 / 编排器）：流水线已与通义千问端到端运行；schemas/analysis_output.json已更新以匹配M2更丰富的PRD输出格式。M1向M2（GPT-4默认值、直接推送至dev）和M3（模式不匹配）发出整改通知。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M2（Agent A — 需求分析师）：Agent A功能完备。requirements_analyst.py已交付，包含3个顺序任务（PRD生成、用户故事、架构概述）。7个测试场景全部通过验证，JSON模式兼容性已与M1确认，第二周代码通过Pull Request #2合并至dev分支。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M4（Agent C — 测试与调试器）：测试生成智能体已构建完成。可读取Agent B的implementation_output.json，通过ast静态分析代码，借助通义千问生成pytest测试套件。子进程沙箱运行器已实现。在ProductManager和StudentManager两个样本上均生成10个测试用例，且全部通过。已提交test_output.json合约草案。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5（DevOps与LLM基础设施）：LLM封装器重构为可插拔多提供商系统（通义千问/OpenAI/Anthropic）。CI检查已添加，可拦截含有过时gpt-4字符串的提交。requirements.txt已锁定版本。scripts/doctor.py环境验证脚本已发布。基于pydantic-settings的config.py配置加载器已合并。CLI脚手架run.py已作为草稿PR提交。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任务二 — 差异问题日志与跨成员问题跟踪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整理并记录第二周报告中发现的所有跨成员差异问题：</w:t>
      </w:r>
    </w:p>
    <w:tbl>
      <w:tblPr>
        <w:tblW w:w="9360" w:type="dxa"/>
        <w:tblBorders>
          <w:insideH w:val="single" w:color="CCCCCC" w:sz="4" w:space="0"/>
          <w:insideV w:val="single" w:color="CCCCCC" w:sz="4" w:space="0"/>
        </w:tblBorders>
        <w:tblLook w:val="000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发现方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requirements_analyst.py默认使用gpt-4而非通义千问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M1 + M5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⚠ 待M2修复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直接推送至dev分支（绕过PR流程）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M1 + M5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⚠ 待M1开启分支保护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validate_analysis_output()使用旧版模式字段（requirement_summary等）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⚠ 待M3修复</w:t>
            </w:r>
          </w:p>
        </w:tc>
      </w:tr>
      <w:t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dev分支保护需M1管理员权限操作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M5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⚠ 等待M1处理</w:t>
            </w:r>
          </w:p>
        </w:tc>
      </w:tr>
    </w:tbl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任务三 — 技术报告更新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根据M2第二周报告，扩展docs/technical_report_draft.md中的Agent A章节（第3节）：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架构：单智能体，3个顺序任务（PRD → 用户故事 → 架构概述）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提示策略：少样本学习，包含2个完整示例（天气应用、电商平台）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输出格式：严格JSON，后处理去除markdown代码块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测试覆盖：7个场景（5个正常 + 2个边缘用例：输入不足与需求过度膨胀）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根据M4第二周报告，新增Agent C章节（第4节）存根：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通过通义千问结合ast静态分析生成测试用例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子进程沙箱配合pytest-json-report输出结构化通过/失败数据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提出test_output.json合约（JSON Schema Draft-07）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后备机制：确定性模拟生成器，镜像M3的重试约定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根据M5第二周报告，更新DevOps与基础设施章节（第6节）：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多提供商封装器架构（llm/providers/注册表）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config.py取代分散的os.getenv()调用，统一管理配置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CI拦截过时模型字符串；requirements.txt版本已锁定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doctor.py — 使用指南中已添加说明：“克隆后运行 python scripts/doctor.py”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任务四 — 数据模式与合约文档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更新docs/integration_reference.md中的数据合约：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schemas/analysis_output.json — 已更新，匹配M2实际PRD输出格式（prd、user_stories、architecture_outline）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schemas/implementation_output.json — 无变更，仍有效（M1确认）</w:t>
      </w:r>
    </w:p>
    <w:p>
      <w:pPr>
        <w:pStyle w:val="20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schemas/test_output.json — M4提出的新合约，已记录为&amp;ldquo;待M1正式注册&amp;rdquo;状态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在集成参考中将M3模式不匹配标记为第三周CLI接线的阻塞问题（M5指出）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任务五 — 使用指南更新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新增环境配置章节，引用M5的scripts/doctor.py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新增LLM配置说明：在.env中设置LLM_PROVIDER=qwen及DASHSCOPE_API_KEY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新增config.py配置项参考表（来源：M5的pydantic-settings配置加载器）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注明CLI脚手架run.py（run.py build / run.py doctor）待M3修复合并后补充</w:t>
      </w:r>
    </w:p>
    <w:p>
      <w:pPr>
        <w:spacing w:before="60"/>
      </w:pPr>
    </w:p>
    <w:p>
      <w:pPr>
        <w:pBdr>
          <w:bottom w:val="single" w:color="2E75B6" w:sz="4" w:space="1"/>
        </w:pBdr>
        <w:spacing w:before="120" w:after="120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技术决策</w:t>
      </w:r>
    </w:p>
    <w:tbl>
      <w:tblPr>
        <w:tblW w:w="9360" w:type="dxa"/>
        <w:tblBorders>
          <w:insideH w:val="single" w:color="CCCCCC" w:sz="4" w:space="0"/>
          <w:insideV w:val="single" w:color="CCCCCC" w:sz="4" w:space="0"/>
        </w:tblBorders>
        <w:tblLook w:val="0000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决策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选择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原因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差异问题跟踪方式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在integration_reference.md中使用内联表格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单一可见位置，M1和相关成员可直接跟进处理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模式版本管理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在集成参考中注明新旧字段对比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帮助M3迁移，无需翻阅多份报告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doctor.py在文档中的位置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放入使用指南安装章节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新成员第一步操作，减少环境配置类支持问题</w:t>
            </w:r>
          </w:p>
        </w:tc>
      </w:tr>
      <w:t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test_output.json状态标注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标记为“草案，待M1正式注册”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color w:val="000000"/>
                <w:sz w:val="20"/>
                <w:szCs w:val="20"/>
              </w:rPr>
              <w:t>避免将未合并合约误作正式标准</w:t>
            </w:r>
          </w:p>
        </w:tc>
      </w:tr>
    </w:tbl>
    <w:p>
      <w:pPr>
        <w:spacing w:before="60"/>
      </w:pPr>
    </w:p>
    <w:p>
      <w:pPr>
        <w:pBdr>
          <w:bottom w:val="single" w:color="2E75B6" w:sz="4" w:space="1"/>
        </w:pBdr>
        <w:spacing w:before="120" w:after="120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合规检查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团队路线图（M6第二周）：审阅所有第二周报告，更新集成参考，扩展技术报告 → 全部完成。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M1集成规范：所有工作在feature/docs分支进行，PR合并至dev → 已遵守。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风格指南：所有新增文档章节均遵循docs/style_guide.md规范 → 完成。</w:t>
      </w:r>
    </w:p>
    <w:p>
      <w:pPr>
        <w:pStyle w:val="20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报告审阅：M1、M2、M4、M5第二周报告已审阅并汇总 → 完成。（M3、M7报告暂未收到。）</w:t>
      </w:r>
    </w:p>
    <w:p>
      <w:pPr>
        <w:spacing w:before="60"/>
      </w:pPr>
    </w:p>
    <w:p>
      <w:pPr>
        <w:pBdr>
          <w:bottom w:val="single" w:color="2E75B6" w:sz="4" w:space="1"/>
        </w:pBdr>
        <w:spacing w:before="120" w:after="120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致团队成员</w:t>
      </w: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致M2 — GPT-4默认值修复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M1和M5均已指出requirements_analyst.py默认使用gpt-4的问题。请在第三周前按M1的建议修复（改用通义千问 via DashScope）。M5的CI将拦截llm/providers/目录以外含有gpt-4字符串的任何合并请求。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致M3 — 模式迁移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analysis_output.json模式已更新。请将validate_analysis_output()和build_qwen_prompt()中的字段更新为新版（prd、user_stories、architecture_outline），详见M1集成报告。此问题是第三周M5 CLI接线的阻塞项。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致M4 — test_output.json正式注册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您提出的test_output.json合约已在集成参考中标注为“待正式注册”。请与M1协调，将其正式合并至schemas/目录，以便M6将其标记为Agent C的官方合约。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致M5 — doctor.py文档确认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M6已在使用指南安装章节中添加“克隆后运行 python scripts/doctor.py”的说明。请在第三周文档审阅前确认报告中的示例输出仍然准确。</w:t>
      </w:r>
    </w:p>
    <w:p>
      <w:pPr>
        <w:spacing w:before="60"/>
      </w:pPr>
    </w:p>
    <w:p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致所有成员 — 第三周文档贡献</w:t>
      </w:r>
    </w:p>
    <w:p>
      <w:pPr>
        <w:spacing w:before="60" w:after="60"/>
        <w:rPr>
          <w:rFonts w:ascii="Times New Roman" w:hAnsi="Times New Roman" w:cs="Times New Roman"/>
        </w:rPr>
      </w:pPr>
      <w:r>
        <w:rPr>
          <w:rFonts w:ascii="Times New Roman" w:hAnsi="Times New Roman" w:eastAsia="Arial" w:cs="Times New Roman"/>
        </w:rPr>
        <w:t>从第三周起，请各自开始填写docs/technical_report_draft.md中对应章节。各章节均已标注负责人。请用英文撰写（注释中可加中文备注）。M6将在第五周最终汇总前进行一致性审阅。</w:t>
      </w:r>
    </w:p>
    <w:p>
      <w:pPr>
        <w:spacing w:before="60"/>
      </w:pPr>
    </w:p>
    <w:p>
      <w:pPr>
        <w:pBdr>
          <w:bottom w:val="single" w:color="2E75B6" w:sz="4" w:space="1"/>
        </w:pBdr>
        <w:spacing w:before="120" w:after="120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第二周完成情况</w:t>
      </w:r>
    </w:p>
    <w:tbl>
      <w:tblPr>
        <w:tblW w:w="9360" w:type="dxa"/>
        <w:tblBorders>
          <w:insideH w:val="single" w:color="CCCCCC" w:sz="4" w:space="0"/>
          <w:insideV w:val="single" w:color="CCCCCC" w:sz="4" w:space="0"/>
        </w:tblBorders>
        <w:tblLook w:val="0000"/>
      </w:tblPr>
      <w:tblGrid>
        <w:gridCol w:w="5560"/>
        <w:gridCol w:w="3800"/>
      </w:tblGrid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sz w:val="20"/>
                <w:szCs w:val="20"/>
              </w:rPr>
              <w:t>第二周报告审阅与集成参考更新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eastAsia="Arial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hAnsi="Times New Roman" w:eastAsia="Arial" w:cs="Times New Roman"/>
                <w:b/>
                <w:bCs/>
                <w:sz w:val="20"/>
                <w:szCs w:val="20"/>
              </w:rPr>
              <w:t xml:space="preserve"> 已完成</w:t>
            </w:r>
          </w:p>
        </w:tc>
      </w:tr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sz w:val="20"/>
                <w:szCs w:val="20"/>
              </w:rPr>
              <w:t>差异问题日志与跨成员问题跟踪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eastAsia="Arial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hAnsi="Times New Roman" w:eastAsia="Arial" w:cs="Times New Roman"/>
                <w:b/>
                <w:bCs/>
                <w:sz w:val="20"/>
                <w:szCs w:val="20"/>
              </w:rPr>
              <w:t xml:space="preserve"> 已完成</w:t>
            </w:r>
          </w:p>
        </w:tc>
      </w:tr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sz w:val="20"/>
                <w:szCs w:val="20"/>
              </w:rPr>
              <w:t>技术报告更新（Agent A、C及DevOps章节）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eastAsia="Arial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hAnsi="Times New Roman" w:eastAsia="Arial" w:cs="Times New Roman"/>
                <w:b/>
                <w:bCs/>
                <w:sz w:val="20"/>
                <w:szCs w:val="20"/>
              </w:rPr>
              <w:t xml:space="preserve"> 已完成</w:t>
            </w:r>
          </w:p>
        </w:tc>
      </w:tr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sz w:val="20"/>
                <w:szCs w:val="20"/>
              </w:rPr>
              <w:t>数据模式与合约文档更新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eastAsia="Arial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hAnsi="Times New Roman" w:eastAsia="Arial" w:cs="Times New Roman"/>
                <w:b/>
                <w:bCs/>
                <w:sz w:val="20"/>
                <w:szCs w:val="20"/>
              </w:rPr>
              <w:t xml:space="preserve"> 已完成</w:t>
            </w:r>
          </w:p>
        </w:tc>
      </w:tr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sz w:val="20"/>
                <w:szCs w:val="20"/>
              </w:rPr>
              <w:t>使用指南更新（doctor.py、config.py、CLI）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eastAsia="Arial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hAnsi="Times New Roman" w:eastAsia="Arial" w:cs="Times New Roman"/>
                <w:b/>
                <w:bCs/>
                <w:sz w:val="20"/>
                <w:szCs w:val="20"/>
              </w:rPr>
              <w:t xml:space="preserve"> 已完成</w:t>
            </w:r>
          </w:p>
        </w:tc>
      </w:tr>
      <w:tr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Arial" w:cs="Times New Roman"/>
                <w:sz w:val="20"/>
                <w:szCs w:val="20"/>
              </w:rPr>
              <w:t>feature/docs分支维护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Segoe UI Emoji" w:hAnsi="Segoe UI Emoji" w:eastAsia="Arial" w:cs="Segoe UI Emoji"/>
                <w:b/>
                <w:bCs/>
                <w:sz w:val="20"/>
                <w:szCs w:val="20"/>
              </w:rPr>
              <w:t>✅</w:t>
            </w:r>
            <w:r>
              <w:rPr>
                <w:rFonts w:ascii="Times New Roman" w:hAnsi="Times New Roman" w:eastAsia="Arial" w:cs="Times New Roman"/>
                <w:b/>
                <w:bCs/>
                <w:sz w:val="20"/>
                <w:szCs w:val="20"/>
              </w:rPr>
              <w:t xml:space="preserve"> 已完成</w:t>
            </w:r>
          </w:p>
        </w:tc>
      </w:tr>
    </w:tbl>
    <w:p w14:paraId="43100099">
      <w:pPr>
        <w:spacing w:before="8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6D5F" w14:textId="77777777" w:rsidR="002E357E" w:rsidRDefault="002E357E">
      <w:r>
        <w:separator/>
      </w:r>
    </w:p>
  </w:endnote>
  <w:endnote w:type="continuationSeparator" w:id="0">
    <w:p w14:paraId="00F16607" w14:textId="77777777" w:rsidR="002E357E" w:rsidRDefault="002E3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C4B1" w14:textId="77777777" w:rsidR="001909C7" w:rsidRDefault="00000000">
    <w:pPr>
      <w:pBdr>
        <w:top w:val="single" w:sz="4" w:space="1" w:color="2E75B6"/>
      </w:pBdr>
      <w:jc w:val="center"/>
    </w:pPr>
    <w:r>
      <w:rPr>
        <w:rFonts w:eastAsia="Arial"/>
        <w:color w:val="888888"/>
        <w:sz w:val="18"/>
        <w:szCs w:val="18"/>
      </w:rPr>
      <w:t xml:space="preserve">第一周进度报告  |  </w:t>
    </w: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85B74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4F74" w14:textId="77777777" w:rsidR="002E357E" w:rsidRDefault="002E357E">
      <w:r>
        <w:separator/>
      </w:r>
    </w:p>
  </w:footnote>
  <w:footnote w:type="continuationSeparator" w:id="0">
    <w:p w14:paraId="3EC06487" w14:textId="77777777" w:rsidR="002E357E" w:rsidRDefault="002E3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AC88" w14:textId="77777777" w:rsidR="001909C7" w:rsidRDefault="00000000">
    <w:pPr>
      <w:pBdr>
        <w:bottom w:val="single" w:sz="4" w:space="1" w:color="2E75B6"/>
      </w:pBdr>
      <w:jc w:val="right"/>
    </w:pPr>
    <w:r>
      <w:rPr>
        <w:rFonts w:eastAsia="Arial"/>
        <w:color w:val="888888"/>
        <w:sz w:val="18"/>
        <w:szCs w:val="18"/>
      </w:rPr>
      <w:t>基于LLM的软件工程智能体  |  M6 — 文档负责人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A96"/>
    <w:multiLevelType w:val="multilevel"/>
    <w:tmpl w:val="9DF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43F2"/>
    <w:multiLevelType w:val="hybridMultilevel"/>
    <w:tmpl w:val="74E87256"/>
    <w:lvl w:ilvl="0" w:tplc="D33E92A0">
      <w:start w:val="1"/>
      <w:numFmt w:val="bullet"/>
      <w:lvlText w:val="●"/>
      <w:lvlJc w:val="left"/>
      <w:pPr>
        <w:ind w:left="720" w:hanging="360"/>
      </w:pPr>
    </w:lvl>
    <w:lvl w:ilvl="1" w:tplc="700E4F5C">
      <w:start w:val="1"/>
      <w:numFmt w:val="bullet"/>
      <w:lvlText w:val="○"/>
      <w:lvlJc w:val="left"/>
      <w:pPr>
        <w:ind w:left="1440" w:hanging="360"/>
      </w:pPr>
    </w:lvl>
    <w:lvl w:ilvl="2" w:tplc="E856F048">
      <w:start w:val="1"/>
      <w:numFmt w:val="bullet"/>
      <w:lvlText w:val="■"/>
      <w:lvlJc w:val="left"/>
      <w:pPr>
        <w:ind w:left="2160" w:hanging="360"/>
      </w:pPr>
    </w:lvl>
    <w:lvl w:ilvl="3" w:tplc="A2AE9E52">
      <w:start w:val="1"/>
      <w:numFmt w:val="bullet"/>
      <w:lvlText w:val="●"/>
      <w:lvlJc w:val="left"/>
      <w:pPr>
        <w:ind w:left="2880" w:hanging="360"/>
      </w:pPr>
    </w:lvl>
    <w:lvl w:ilvl="4" w:tplc="52B8AF34">
      <w:start w:val="1"/>
      <w:numFmt w:val="bullet"/>
      <w:lvlText w:val="○"/>
      <w:lvlJc w:val="left"/>
      <w:pPr>
        <w:ind w:left="3600" w:hanging="360"/>
      </w:pPr>
    </w:lvl>
    <w:lvl w:ilvl="5" w:tplc="06183FA4">
      <w:start w:val="1"/>
      <w:numFmt w:val="bullet"/>
      <w:lvlText w:val="■"/>
      <w:lvlJc w:val="left"/>
      <w:pPr>
        <w:ind w:left="4320" w:hanging="360"/>
      </w:pPr>
    </w:lvl>
    <w:lvl w:ilvl="6" w:tplc="C576CBB0">
      <w:start w:val="1"/>
      <w:numFmt w:val="bullet"/>
      <w:lvlText w:val="●"/>
      <w:lvlJc w:val="left"/>
      <w:pPr>
        <w:ind w:left="5040" w:hanging="360"/>
      </w:pPr>
    </w:lvl>
    <w:lvl w:ilvl="7" w:tplc="A4FE2C5A">
      <w:start w:val="1"/>
      <w:numFmt w:val="bullet"/>
      <w:lvlText w:val="●"/>
      <w:lvlJc w:val="left"/>
      <w:pPr>
        <w:ind w:left="5760" w:hanging="360"/>
      </w:pPr>
    </w:lvl>
    <w:lvl w:ilvl="8" w:tplc="F656FE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1F5DFD"/>
    <w:multiLevelType w:val="multilevel"/>
    <w:tmpl w:val="FC6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F55A7"/>
    <w:multiLevelType w:val="multilevel"/>
    <w:tmpl w:val="CAAC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AA5"/>
    <w:multiLevelType w:val="multilevel"/>
    <w:tmpl w:val="E5C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F0876"/>
    <w:multiLevelType w:val="hybridMultilevel"/>
    <w:tmpl w:val="6F14D2E8"/>
    <w:lvl w:ilvl="0" w:tplc="BF68AB78">
      <w:start w:val="1"/>
      <w:numFmt w:val="bullet"/>
      <w:lvlText w:val="•"/>
      <w:lvlJc w:val="left"/>
      <w:pPr>
        <w:ind w:left="720" w:hanging="360"/>
      </w:pPr>
    </w:lvl>
    <w:lvl w:ilvl="1" w:tplc="8564E1CA">
      <w:numFmt w:val="decimal"/>
      <w:lvlText w:val=""/>
      <w:lvlJc w:val="left"/>
    </w:lvl>
    <w:lvl w:ilvl="2" w:tplc="AD9A8EF6">
      <w:numFmt w:val="decimal"/>
      <w:lvlText w:val=""/>
      <w:lvlJc w:val="left"/>
    </w:lvl>
    <w:lvl w:ilvl="3" w:tplc="16064072">
      <w:numFmt w:val="decimal"/>
      <w:lvlText w:val=""/>
      <w:lvlJc w:val="left"/>
    </w:lvl>
    <w:lvl w:ilvl="4" w:tplc="E59AE28A">
      <w:numFmt w:val="decimal"/>
      <w:lvlText w:val=""/>
      <w:lvlJc w:val="left"/>
    </w:lvl>
    <w:lvl w:ilvl="5" w:tplc="813C7CC6">
      <w:numFmt w:val="decimal"/>
      <w:lvlText w:val=""/>
      <w:lvlJc w:val="left"/>
    </w:lvl>
    <w:lvl w:ilvl="6" w:tplc="49DAB350">
      <w:numFmt w:val="decimal"/>
      <w:lvlText w:val=""/>
      <w:lvlJc w:val="left"/>
    </w:lvl>
    <w:lvl w:ilvl="7" w:tplc="7DDA9558">
      <w:numFmt w:val="decimal"/>
      <w:lvlText w:val=""/>
      <w:lvlJc w:val="left"/>
    </w:lvl>
    <w:lvl w:ilvl="8" w:tplc="E8F8F4DE">
      <w:numFmt w:val="decimal"/>
      <w:lvlText w:val=""/>
      <w:lvlJc w:val="left"/>
    </w:lvl>
  </w:abstractNum>
  <w:abstractNum w:abstractNumId="6" w15:restartNumberingAfterBreak="0">
    <w:nsid w:val="3D646F2E"/>
    <w:multiLevelType w:val="multilevel"/>
    <w:tmpl w:val="607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A6112"/>
    <w:multiLevelType w:val="hybridMultilevel"/>
    <w:tmpl w:val="58B8E652"/>
    <w:lvl w:ilvl="0" w:tplc="04090009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907425675">
    <w:abstractNumId w:val="1"/>
    <w:lvlOverride w:ilvl="0">
      <w:startOverride w:val="1"/>
    </w:lvlOverride>
  </w:num>
  <w:num w:numId="2" w16cid:durableId="571696113">
    <w:abstractNumId w:val="5"/>
    <w:lvlOverride w:ilvl="0">
      <w:startOverride w:val="1"/>
    </w:lvlOverride>
  </w:num>
  <w:num w:numId="3" w16cid:durableId="1745682909">
    <w:abstractNumId w:val="4"/>
  </w:num>
  <w:num w:numId="4" w16cid:durableId="201333018">
    <w:abstractNumId w:val="6"/>
  </w:num>
  <w:num w:numId="5" w16cid:durableId="1165631129">
    <w:abstractNumId w:val="7"/>
  </w:num>
  <w:num w:numId="6" w16cid:durableId="908075906">
    <w:abstractNumId w:val="3"/>
  </w:num>
  <w:num w:numId="7" w16cid:durableId="40909072">
    <w:abstractNumId w:val="0"/>
  </w:num>
  <w:num w:numId="8" w16cid:durableId="1255166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9C7"/>
    <w:rsid w:val="000B2BF8"/>
    <w:rsid w:val="00185B74"/>
    <w:rsid w:val="001909C7"/>
    <w:rsid w:val="001C4455"/>
    <w:rsid w:val="00214208"/>
    <w:rsid w:val="002E357E"/>
    <w:rsid w:val="00502868"/>
    <w:rsid w:val="007E117C"/>
    <w:rsid w:val="009147B3"/>
    <w:rsid w:val="00954635"/>
    <w:rsid w:val="00A90E25"/>
    <w:rsid w:val="00BF3F79"/>
    <w:rsid w:val="00D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822DE"/>
  <w15:docId w15:val="{5E4D6E48-17FE-40D9-AB29-EB2B16C0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240" w:after="100"/>
      <w:outlineLvl w:val="1"/>
    </w:pPr>
    <w:rPr>
      <w:rFonts w:eastAsia="Arial"/>
      <w:b/>
      <w:bCs/>
      <w:color w:val="1F2D3D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7E117C"/>
    <w:rPr>
      <w:rFonts w:eastAsia="Arial"/>
      <w:b/>
      <w:bCs/>
      <w:color w:val="1F2D3D"/>
      <w:sz w:val="26"/>
      <w:szCs w:val="26"/>
    </w:rPr>
  </w:style>
  <w:style w:type="paragraph" w:customStyle="1" w:styleId="ds-markdown-paragraph">
    <w:name w:val="ds-markdown-paragraph"/>
    <w:basedOn w:val="a"/>
    <w:rsid w:val="00A90E25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580</Words>
  <Characters>3260</Characters>
  <Application>Microsoft Office Word</Application>
  <DocSecurity>0</DocSecurity>
  <Lines>130</Lines>
  <Paragraphs>83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GRACIANA CRISTINA LAY</cp:lastModifiedBy>
  <cp:revision>10</cp:revision>
  <dcterms:created xsi:type="dcterms:W3CDTF">2026-05-19T07:16:00Z</dcterms:created>
  <dcterms:modified xsi:type="dcterms:W3CDTF">2026-05-19T08:07:00Z</dcterms:modified>
</cp:coreProperties>
</file>