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外校专家聘请审批表</w:t>
      </w:r>
    </w:p>
    <w:p>
      <w:pPr>
        <w:spacing w:after="1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项目名称: 创意与设计学院</w:t>
      </w:r>
      <w:r>
        <w:t xml:space="preserve">                                      </w:t>
      </w:r>
      <w:r>
        <w:rPr>
          <w:rFonts w:ascii="SimSun" w:cs="SimSun" w:eastAsia="SimSun" w:hAnsi="SimSun"/>
          <w:sz w:val="22"/>
          <w:szCs w:val="22"/>
        </w:rPr>
        <w:t xml:space="preserve">填表日期: 2026.4.1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申请人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周雅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所属部门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创意与设计学院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辅导对象
及人数</w:t>
            </w:r>
          </w:p>
        </w:tc>
        <w:tc>
          <w:tcPr>
            <w:gridSpan w:val="3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创意与设计学院学生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专家姓名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李沅哲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学历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本科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职称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助理编辑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专家级别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初级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联系方式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13588220401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食宿安排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自理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身份证号码</w:t>
            </w:r>
          </w:p>
        </w:tc>
        <w:tc>
          <w:tcPr>
            <w:gridSpan w:val="3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420683199003290342</w:t>
            </w:r>
          </w:p>
        </w:tc>
      </w:tr>
      <w:tr>
        <w:tc>
          <w:tcPr>
            <w:gridSpan w:val="4"/>
            <w:shd w:fill="F2F2F2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专家辅导方案</w:t>
            </w:r>
          </w:p>
        </w:tc>
      </w:tr>
      <w:tr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时间段和课时</w:t>
            </w:r>
          </w:p>
        </w:tc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辅导训练主要内容</w:t>
            </w:r>
          </w:p>
        </w:tc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训练目标</w:t>
            </w:r>
          </w:p>
        </w:tc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实施方式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4.11
09:00-12:00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新媒体文案核心逻辑拆解；爆款文案结构分析；不同平台文案调性差异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掌握新媒体文案底层框架，理解各平台内容创作规律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理论授课 + 行业案例解析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4.11
13:00-17:00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标题撰写技巧；正文内容搭建；用户痛点挖掘方法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能独立完成符合平台调性的单篇新媒体文案初稿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分组实操 + 现场一对一改稿指导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4.12
09:00-12:00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转化型文案写作技巧；文案排版与视觉优化；学员作品综合点评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优化文案内容与呈现形式，具备可落地的商业文案创作能力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作品互评 + 专家集中点评 + 答疑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劳务费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3000.00元
叁仟元整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银行卡号（支行）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6217856200002732282
中国银行萧山支行(萧山区人民路288号)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处室、系部主任签字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签字:
日期:    年   月   日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分管院领导
审批意见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意见:
签字:
日期:    年   月   日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院领导公章
审批意见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意见:
签字:
日期:    年   月   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2026-05-24T13:58:19.952Z</dcterms:created>
  <dcterms:modified xsi:type="dcterms:W3CDTF">2026-05-24T13:58:19.952Z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