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CD30" w14:textId="17109228" w:rsidR="00F20CC6" w:rsidRPr="00F20CC6" w:rsidRDefault="00F20CC6" w:rsidP="00F20CC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Pharmaceutical </w:t>
      </w:r>
      <w:r w:rsidRPr="00F20CC6">
        <w:rPr>
          <w:b/>
          <w:color w:val="000000" w:themeColor="text1"/>
        </w:rPr>
        <w:t>Controlled Rooms</w:t>
      </w:r>
    </w:p>
    <w:p w14:paraId="0802B402" w14:textId="77777777" w:rsidR="00F20CC6" w:rsidRDefault="00F20CC6" w:rsidP="00F20CC6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5C623B">
        <w:rPr>
          <w:color w:val="000000" w:themeColor="text1"/>
        </w:rPr>
        <w:t>Tescor</w:t>
      </w:r>
      <w:proofErr w:type="spellEnd"/>
      <w:r w:rsidRPr="005C623B">
        <w:rPr>
          <w:color w:val="000000" w:themeColor="text1"/>
        </w:rPr>
        <w:t xml:space="preserve"> manufactures custom environmental chambers for use in Industrial Testing and Life Science Applications. These chambers can range from walk-in type used for the storage of temperature sensitive pharmaceuticals, to large drive-in chambers used in testing automobiles.</w:t>
      </w:r>
    </w:p>
    <w:p w14:paraId="560AD677" w14:textId="77777777" w:rsidR="008D4B1B" w:rsidRDefault="008D4B1B">
      <w:bookmarkStart w:id="0" w:name="_GoBack"/>
      <w:bookmarkEnd w:id="0"/>
    </w:p>
    <w:sectPr w:rsidR="008D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45F5C"/>
    <w:multiLevelType w:val="hybridMultilevel"/>
    <w:tmpl w:val="9B745A3E"/>
    <w:lvl w:ilvl="0" w:tplc="DF8815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6F"/>
    <w:rsid w:val="008D4B1B"/>
    <w:rsid w:val="009E667B"/>
    <w:rsid w:val="00D13B6F"/>
    <w:rsid w:val="00F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7715"/>
  <w15:chartTrackingRefBased/>
  <w15:docId w15:val="{0847DE4D-C2E6-40A0-B099-76E05E46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2</cp:revision>
  <dcterms:created xsi:type="dcterms:W3CDTF">2018-03-19T15:49:00Z</dcterms:created>
  <dcterms:modified xsi:type="dcterms:W3CDTF">2018-03-19T15:50:00Z</dcterms:modified>
</cp:coreProperties>
</file>