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7E6A" w14:textId="6F315F3E" w:rsidR="003C0268" w:rsidRPr="003C0268" w:rsidRDefault="00451515" w:rsidP="003C026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Pharmaceutical </w:t>
      </w:r>
      <w:r w:rsidR="003C0268" w:rsidRPr="003C0268">
        <w:rPr>
          <w:b/>
          <w:color w:val="000000" w:themeColor="text1"/>
        </w:rPr>
        <w:t>Temperature and Humidity Control Room</w:t>
      </w:r>
    </w:p>
    <w:p w14:paraId="2FEA1965" w14:textId="64E99BD2" w:rsidR="008D4B1B" w:rsidRDefault="003C0268" w:rsidP="003C0268">
      <w:pPr>
        <w:pStyle w:val="ListParagraph"/>
        <w:numPr>
          <w:ilvl w:val="0"/>
          <w:numId w:val="2"/>
        </w:numPr>
      </w:pPr>
      <w:proofErr w:type="spellStart"/>
      <w:r w:rsidRPr="003C0268">
        <w:rPr>
          <w:color w:val="000000" w:themeColor="text1"/>
        </w:rPr>
        <w:t>Tescor</w:t>
      </w:r>
      <w:proofErr w:type="spellEnd"/>
      <w:r w:rsidRPr="003C0268">
        <w:rPr>
          <w:color w:val="000000" w:themeColor="text1"/>
        </w:rPr>
        <w:t xml:space="preserve"> manufactures custom environmental chambers for use in Industrial Testing and Life Science Applications. These chambers can range from walk-in type used for the storage of temperature sensitive pharmaceuticals, to large drive-in chambers used in testing automobiles. </w:t>
      </w:r>
      <w:proofErr w:type="spellStart"/>
      <w:r w:rsidRPr="003C0268">
        <w:rPr>
          <w:color w:val="000000" w:themeColor="text1"/>
        </w:rPr>
        <w:t>Tescor</w:t>
      </w:r>
      <w:proofErr w:type="spellEnd"/>
      <w:r w:rsidRPr="003C0268">
        <w:rPr>
          <w:color w:val="000000" w:themeColor="text1"/>
        </w:rPr>
        <w:t xml:space="preserve"> has utilized its experience in refrigeration and air conditioning technologies to manufacture chambers which can maintain –100°F on a continuous basis or chambers which can reach as high as 250°F. These systems can be supplied with temperature and humidity PID controls or with fully computerized data acquisition and control s</w:t>
      </w:r>
      <w:bookmarkStart w:id="0" w:name="_GoBack"/>
      <w:bookmarkEnd w:id="0"/>
      <w:r w:rsidRPr="003C0268">
        <w:rPr>
          <w:color w:val="000000" w:themeColor="text1"/>
        </w:rPr>
        <w:t>ystems.</w:t>
      </w:r>
    </w:p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83A0E"/>
    <w:multiLevelType w:val="hybridMultilevel"/>
    <w:tmpl w:val="F1F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D0"/>
    <w:rsid w:val="003C0268"/>
    <w:rsid w:val="00451515"/>
    <w:rsid w:val="008D4B1B"/>
    <w:rsid w:val="009E667B"/>
    <w:rsid w:val="00DC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B61B"/>
  <w15:chartTrackingRefBased/>
  <w15:docId w15:val="{098B77EE-B405-4589-99BF-C1AF4F14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3</cp:revision>
  <dcterms:created xsi:type="dcterms:W3CDTF">2018-03-19T17:18:00Z</dcterms:created>
  <dcterms:modified xsi:type="dcterms:W3CDTF">2018-03-19T17:19:00Z</dcterms:modified>
</cp:coreProperties>
</file>