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.6614173228347"/>
        <w:rPr/>
      </w:pPr>
      <w:r w:rsidDel="00000000" w:rsidR="00000000" w:rsidRPr="00000000">
        <w:rPr>
          <w:rtl w:val="0"/>
        </w:rPr>
        <w:t xml:space="preserve">Концептуальная ER-диаграмма проекта, отображающая структуру базы данных изображена на рисунке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Рисунок 1 - Концептуальная модель ER-диаграмма NeuroKanban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Для отображение функциональных возможностей системы была реализована диаграмма IDEF0, представленная на рисунке 2, а также ее декомпозиция на рисунке 3.</w:t>
      </w:r>
    </w:p>
    <w:p w:rsidR="00000000" w:rsidDel="00000000" w:rsidP="00000000" w:rsidRDefault="00000000" w:rsidRPr="00000000" w14:paraId="00000006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2 - функциональная диаграмма IDEF0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3 - декомпозиция IDEF0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