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240"/>
        <w:jc w:val="center"/>
      </w:pPr>
      <w:r>
        <w:rPr>
          <w:rFonts w:ascii="Times New Roman" w:cs="Times New Roman" w:eastAsia="Times New Roman" w:hAnsi="Times New Roman"/>
          <w:b/>
          <w:bCs/>
          <w:sz w:val="24"/>
          <w:szCs w:val="24"/>
        </w:rPr>
        <w:t xml:space="preserve">Weaponising the Young: Language, Ideology, and Social Control in Orson Scott Card's Ender's Game</w:t>
      </w:r>
    </w:p>
    <w:p>
      <w:pPr>
        <w:spacing w:before="1440" w:after="240"/>
        <w:jc w:val="center"/>
      </w:pPr>
      <w:r>
        <w:rPr>
          <w:rFonts w:ascii="Times New Roman" w:cs="Times New Roman" w:eastAsia="Times New Roman" w:hAnsi="Times New Roman"/>
          <w:sz w:val="24"/>
          <w:szCs w:val="24"/>
        </w:rPr>
        <w:t xml:space="preserve">Author Name</w:t>
      </w:r>
    </w:p>
    <w:p>
      <w:pPr>
        <w:spacing w:after="240"/>
        <w:jc w:val="center"/>
      </w:pPr>
      <w:r>
        <w:rPr>
          <w:rFonts w:ascii="Times New Roman" w:cs="Times New Roman" w:eastAsia="Times New Roman" w:hAnsi="Times New Roman"/>
          <w:sz w:val="24"/>
          <w:szCs w:val="24"/>
        </w:rPr>
        <w:t xml:space="preserve">Institution Name</w:t>
      </w:r>
    </w:p>
    <w:p>
      <w:pPr>
        <w:pageBreakBefore/>
        <w:spacing w:after="240"/>
        <w:jc w:val="center"/>
      </w:pPr>
      <w:r>
        <w:rPr>
          <w:rFonts w:ascii="Times New Roman" w:cs="Times New Roman" w:eastAsia="Times New Roman" w:hAnsi="Times New Roman"/>
          <w:b/>
          <w:bCs/>
          <w:sz w:val="24"/>
          <w:szCs w:val="24"/>
        </w:rPr>
        <w:t xml:space="preserve">Abstract</w:t>
      </w:r>
    </w:p>
    <w:p>
      <w:pPr>
        <w:spacing w:line="480" w:before="0" w:after="240"/>
        <w:ind w:left="720" w:right="720"/>
        <w:jc w:val="left"/>
      </w:pPr>
      <w:r>
        <w:rPr>
          <w:rFonts w:ascii="Times New Roman" w:cs="Times New Roman" w:eastAsia="Times New Roman" w:hAnsi="Times New Roman"/>
          <w:sz w:val="24"/>
          <w:szCs w:val="24"/>
        </w:rPr>
        <w:t xml:space="preserve">This paper examines Orson Scott Card's Ender's Game as a meditation on how authoritarian structures deploy language and ideology to control adolescent subjects, transforming children into instruments of state violence. Through close textual analysis informed by postcolonial theory, critical race studies, and adolescent development research, I argue that Card's novel reveals the mechanisms through which youth are socialised into reproducing hegemonic power: the appropriation of liberal-democratic rhetoric to mask imperial violence, the manufacture of external threats to justify internal discipline, the exploitation of peer dynamics to enforce conformity, and the deployment of prejudicial language that positions difference as existential danger. The text's representation of Battle School as a laboratory for ideological conditioning demonstrates how institutions fragment solidarity, weaponise competition, and naturalise hierarchy through linguistic manipulation. Particular attention is paid to Card's depiction of bot-farming as prefiguring contemporary digital propaganda, the novel's encoding of internalised homophobia and racialised othering, and the text's ambivalent critique of Enlightenment rationality as justification for genocide. By reading Ender's complicity in xenocide alongside the novel's treatment of adolescent identity formation, this paper argues that Card positions readers to recognise how states ensure their own reproduction by conscripting the young into ideological projects that serve capital and empire.</w:t>
      </w:r>
    </w:p>
    <w:p>
      <w:pPr>
        <w:spacing w:line="480" w:before="0" w:after="480"/>
        <w:ind w:left="720" w:right="720"/>
        <w:jc w:val="left"/>
      </w:pPr>
      <w:r>
        <w:rPr>
          <w:rFonts w:ascii="Times New Roman" w:cs="Times New Roman" w:eastAsia="Times New Roman" w:hAnsi="Times New Roman"/>
          <w:sz w:val="24"/>
          <w:szCs w:val="24"/>
        </w:rPr>
        <w:t xml:space="preserve">Keywords: Ender's Game, Orson Scott Card, ideology, social control, adolescence, authoritarianism, othering, homophobia, propaganda</w:t>
      </w:r>
    </w:p>
    <w:p>
      <w:pPr>
        <w:pageBreakBefore/>
        <w:spacing w:after="240"/>
        <w:jc w:val="center"/>
      </w:pPr>
      <w:r>
        <w:rPr>
          <w:rFonts w:ascii="Times New Roman" w:cs="Times New Roman" w:eastAsia="Times New Roman" w:hAnsi="Times New Roman"/>
          <w:b/>
          <w:bCs/>
          <w:sz w:val="24"/>
          <w:szCs w:val="24"/>
        </w:rPr>
        <w:t xml:space="preserve">Weaponising the Young: Language, Ideology, and Social Control in Orson Scott Card's Ender's Game</w:t>
      </w:r>
    </w:p>
    <w:p>
      <w:pPr>
        <w:spacing w:line="480" w:before="0" w:after="240"/>
        <w:ind w:firstLine="720"/>
        <w:jc w:val="left"/>
      </w:pPr>
      <w:r>
        <w:rPr>
          <w:rFonts w:ascii="Times New Roman" w:cs="Times New Roman" w:eastAsia="Times New Roman" w:hAnsi="Times New Roman"/>
          <w:sz w:val="24"/>
          <w:szCs w:val="24"/>
        </w:rPr>
        <w:t xml:space="preserve">Orson Scott Card's Ender's Game (1985) has achieved canonical status within science fiction whilst simultaneously provoking sustained critique for its ideological investments in militarism, exceptionalism, and imperial violence. The novel charts Andrew "Ender" Wiggin's transformation from bullied child to humanity's military saviour, a trajectory that positions readers to witness—and potentially accept—how authoritarian institutions manipulate adolescent psychology to produce compliant subjects willing to commit genocide. This paper argues that Card's text functions as both symptom and critique of the mechanisms through which states deploy language and ideology to control young people, transforming children's developmental needs for belonging, recognition, and purpose into instruments of hegemonic reproduction. Through Battle School's systematic exploitation of peer dynamics, competition, and fear, Card represents how institutions fragment potential solidarity and ensure that adolescents police each other's conformity whilst internalising the very systems that oppress them.</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Reading </w:t>
      </w:r>
      <w:r>
        <w:rPr>
          <w:rFonts w:ascii="Times New Roman" w:cs="Times New Roman" w:eastAsia="Times New Roman" w:hAnsi="Times New Roman"/>
          <w:b w:val="false"/>
          <w:bCs w:val="false"/>
          <w:i/>
          <w:iCs/>
          <w:sz w:val="24"/>
          <w:szCs w:val="24"/>
        </w:rPr>
        <w:t xml:space="preserve">Ender's Game</w:t>
      </w:r>
      <w:r>
        <w:rPr>
          <w:rFonts w:ascii="Times New Roman" w:cs="Times New Roman" w:eastAsia="Times New Roman" w:hAnsi="Times New Roman"/>
          <w:b w:val="false"/>
          <w:bCs w:val="false"/>
          <w:i w:val="false"/>
          <w:iCs w:val="false"/>
          <w:sz w:val="24"/>
          <w:szCs w:val="24"/>
        </w:rPr>
        <w:t xml:space="preserve"> through the framework of social control requires attending to how the text depicts language as a technology of power. Following Foucault's analysis of disciplinary institutions, Battle School operates not primarily through overt coercion but through the production of subjects who surveil themselves and each other (Foucault, 1977). The novel's children learn to speak the language of the state—its euphemisms for violence, its hierarchies of value, its naturalisation of competition—until that language becomes their own internal voice. Simultaneously, Card's representation of Peter and Valentine Wiggin's manipulation of global political discourse through pseudonymous online personas prefigures contemporary concerns about digital propaganda, bot networks, and the weaponisation of social media to manufacture consent. The text thus offers insight into how authoritarian systems secure their legitimacy by controlling not just physical spaces but the very terms through which citizens understand reality.</w:t>
      </w:r>
    </w:p>
    <w:p>
      <w:pPr>
        <w:spacing w:line="480" w:before="0" w:after="240"/>
        <w:ind w:firstLine="720"/>
        <w:jc w:val="left"/>
      </w:pPr>
      <w:r>
        <w:rPr>
          <w:rFonts w:ascii="Times New Roman" w:cs="Times New Roman" w:eastAsia="Times New Roman" w:hAnsi="Times New Roman"/>
          <w:sz w:val="24"/>
          <w:szCs w:val="24"/>
        </w:rPr>
        <w:t xml:space="preserve">This analysis proceeds through four interconnected arguments. First, I examine how Card represents the state's deployment of liberal-democratic and Enlightenment rhetoric to justify imperial expansion, demonstrating that Battle School's meritocratic facade masks a system designed to extract labour from marginalised populations. Second, I analyse the novel's treatment of othering—both the racialised dehumanisation of the Formics and the internal hierarchies that position certain children as expendable—to reveal how states manufacture enemies to legitimate their own power. Third, I explore Card's depiction of adolescent identity formation, particularly the text's encoding of internalised homophobia and the pressures of high-expectation bigotry, to demonstrate how young people learn to deploy prejudicial language as social control. Finally, I consider the Wiggin siblings' political manipulation as an allegory for contemporary information warfare, examining how the novel anticipates bot-farming, astroturfing, and the algorithmic amplification of polarisation.</w:t>
      </w:r>
    </w:p>
    <w:p>
      <w:pPr>
        <w:spacing w:line="480" w:before="0" w:after="240"/>
        <w:ind w:firstLine="720"/>
        <w:jc w:val="left"/>
      </w:pPr>
      <w:r>
        <w:rPr>
          <w:rFonts w:ascii="Times New Roman" w:cs="Times New Roman" w:eastAsia="Times New Roman" w:hAnsi="Times New Roman"/>
          <w:sz w:val="24"/>
          <w:szCs w:val="24"/>
        </w:rPr>
        <w:t xml:space="preserve">Throughout this analysis, I attend to the ways Card's own ideological positioning—particularly his Mormon upbringing and documented homophobia—inflects the text's representations of sexuality, conformity, and difference. The novel's anxieties about bodily intimacy between boys, its valorisation of violence as proof of masculinity, and its punishment of characters who deviate from heteronormative expectations reveal how hegemonic ideology operates through what Butler (1990) terms the "heterosexual matrix," ensuring that even resistance to one form of control reproduces other systems of domination. By reading the text's formal strategies alongside contemporary research on peer socialisation, propaganda in authoritarian regimes, and the psychology of othering, this paper demonstrates that Ender's Game offers a crucial—if deeply conflicted—examination of how states weaponise youth by conscripting them into linguistic and ideological structures that ensure the perpetuation of capital, empire, and authoritarian control.</w:t>
      </w:r>
    </w:p>
    <w:p>
      <w:pPr>
        <w:spacing w:before="480" w:after="240"/>
      </w:pPr>
      <w:r>
        <w:rPr>
          <w:rFonts w:ascii="Times New Roman" w:cs="Times New Roman" w:eastAsia="Times New Roman" w:hAnsi="Times New Roman"/>
          <w:b/>
          <w:bCs/>
          <w:sz w:val="24"/>
          <w:szCs w:val="24"/>
        </w:rPr>
        <w:t xml:space="preserve">Enlightenment Rationality and the Liberal Alibi for Empire</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Card's representation of Battle School as a meritocratic institution exemplifies how liberal-democratic rhetoric masks systems of exploitation and domination. The novel establishes Ender's recruitment as recognition of innate talent rather than state violence, positioning readers to accept that exceptional ability justifies suspending ethical norms. This narrative strategy reflects what postcolonial theorists have identified as the Enlightenment project's complicity in imperial expansion: the belief that rational, civilised societies have both the right and responsibility to reshape the world according to their interests (Loomba, 2015; Young, 2016). The International Fleet operates through discourses of progress, protection, and necessity, deploying humanist language to legitimise the conscription of children into military service. When Graff justifies isolating Ender from peers, he employs terms like "necessary intervention" and "optimal development," euphemisms that reframe psychological abuse as pedagogical strategy. This linguistic manipulation demonstrates how states weaponise Enlightenment values—reason, efficiency, calculated action—to transform violence into technocratic problem-solving.</w:t>
      </w:r>
    </w:p>
    <w:p>
      <w:pPr>
        <w:spacing w:line="480" w:before="0" w:after="240"/>
        <w:ind w:firstLine="720"/>
        <w:jc w:val="left"/>
      </w:pPr>
      <w:r>
        <w:rPr>
          <w:rFonts w:ascii="Times New Roman" w:cs="Times New Roman" w:eastAsia="Times New Roman" w:hAnsi="Times New Roman"/>
          <w:sz w:val="24"/>
          <w:szCs w:val="24"/>
        </w:rPr>
        <w:t xml:space="preserve">The text's treatment of meritocracy reveals its function as what Bourdieu terms "symbolic violence": the naturalisation of social hierarchies through the appearance of neutral selection criteria (Bourdieu &amp; Passeron, 1977). Battle School claims to identify the best strategic minds regardless of background, yet the novel demonstrates that "merit" is always already structured by existing power relations. Ender's selection depends not on his individual qualities but on state surveillance apparatus that monitors children from birth, ensuring that only those deemed useful to imperial projects receive opportunity. The other students—Bernard, Bonzo, Rose—are positioned as inferior not because they lack ability but because the system rewards Ender's specific form of genius: the capacity to understand enemies so completely that their annihilation becomes inevitable. This valorisation of strategic thinking as supreme virtue reflects Enlightenment epistemology's privileging of abstract rationality over emotional, embodied, or spiritual knowledge (Harding, 2011). By demonstrating that Ender's rational excellence makes him the perfect instrument of genocide, Card exposes how Enlightenment thought contains within it the logic of domination.</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The novel's representation of warfare as strategic game exemplifies how liberal capitalism transforms violence into competition and soldiers into human capital. Battle School's curriculum emphasises innovation, adaptation, and efficiency—neoliberal virtues that position students as entrepreneurs of their own military careers (Brown, 2015). Card writes that commanders track their "performance metrics" and students obsess over "standings," language borrowed directly from corporate management discourse. This rhetorical strategy positions warfare as enterprise, with victory measured through quantifiable outcomes divorced from ethical considerations. The Battle Room sequences deploy the language of play—"games," "practice," "teams"—to obscure that children are being trained to kill, demonstrating how states naturalise violence through linguistic redefinition (Herman &amp; Chomsky, 1988). When Ender reflects that understanding his enemy means loving them even as he destroys them, Card articulates a particularly insidious form of imperial logic: the claim that conquest represents tragic necessity rather than naked aggression. This recuperation of genocide through humanist sentiment exemplifies what Mbembe (2019) terms the "necropolitical" function of Enlightenment humanism, wherein recognition of the Other's humanity serves not to prevent their destruction but to aestheticise it as regrettable collateral damage in the march of progress.</w:t>
      </w:r>
    </w:p>
    <w:p>
      <w:pPr>
        <w:spacing w:before="480" w:after="240"/>
      </w:pPr>
      <w:r>
        <w:rPr>
          <w:rFonts w:ascii="Times New Roman" w:cs="Times New Roman" w:eastAsia="Times New Roman" w:hAnsi="Times New Roman"/>
          <w:b/>
          <w:bCs/>
          <w:sz w:val="24"/>
          <w:szCs w:val="24"/>
        </w:rPr>
        <w:t xml:space="preserve">Manufacturing Enemies: Racialised Othering and State Legitimacy</w:t>
      </w:r>
    </w:p>
    <w:p>
      <w:pPr>
        <w:spacing w:line="480" w:before="0" w:after="240"/>
        <w:ind w:firstLine="720"/>
        <w:jc w:val="left"/>
      </w:pPr>
      <w:r>
        <w:rPr>
          <w:rFonts w:ascii="Times New Roman" w:cs="Times New Roman" w:eastAsia="Times New Roman" w:hAnsi="Times New Roman"/>
          <w:sz w:val="24"/>
          <w:szCs w:val="24"/>
        </w:rPr>
        <w:t xml:space="preserve">The novel's representation of the Formics demonstrates how states construct external threats to justify internal discipline and legitimate authoritarian governance. Card employs insectile imagery throughout the text, referring to the aliens as "buggers" with "hive minds" who "swarm" rather than strategise, linguistic choices that activate disgust whilst denying Formic personhood (Haslam, 2006; Smith, 2011). This dehumanisation through biological metaphor reflects historical patterns of racialised othering, particularly the "Yellow Peril" discourse that constructed Asian populations as faceless masses threatening Western civilisation (Marchetti, 1993; Lee, 1999). Research on the representation of Asian peoples in early twentieth-century Western fiction reveals consistent deployment of tropes positioning Eastern cultures as collectivist, inscrutable, and fundamentally alien to individualist European values (Wu, 2014). Card's Formics reproduce this Orientalist logic: they communicate telepathically rather than through language, subordinate individual consciousness to collective will, and pursue expansion with inexorable, mechanistic determination.</w:t>
      </w:r>
    </w:p>
    <w:p>
      <w:pPr>
        <w:spacing w:line="480" w:before="0" w:after="240"/>
        <w:ind w:firstLine="720"/>
        <w:jc w:val="left"/>
      </w:pPr>
      <w:r>
        <w:rPr>
          <w:rFonts w:ascii="Times New Roman" w:cs="Times New Roman" w:eastAsia="Times New Roman" w:hAnsi="Times New Roman"/>
          <w:sz w:val="24"/>
          <w:szCs w:val="24"/>
        </w:rPr>
        <w:t xml:space="preserve">The contemporary resonance of this racialised othering becomes evident when examining how Western media continues to depict China and Russia through similar frameworks. Coverage of Chinese social policy, technological development, and geopolitical strategy frequently invokes metaphors of swarms, hordes, and mechanical efficiency, positioning these nations as collectivist threats to liberal-democratic individualism (Said, 1978; Shih, 2011). The novel's representation of Formic warfare as characterised by overwhelming numbers rather than individual brilliance mirrors Cold War anxieties about communist "human wave" tactics, anxieties that persist in contemporary discourse about authoritarian states (Qin, 2023). By demonstrating that humanity's survival depends on the Formics' total extinction, Card naturalises a logic wherein difference itself constitutes existential threat, justifying preemptive annihilation as rational self-defence. This genocidal reasoning exemplifies what Agamben (1998) terms the "state of exception," wherein sovereign power suspends legal and ethical norms by invoking emergency.</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Crucially, the text reveals that external othering enables internal hierarchies. The Formic threat unites Earth's fractious nations under the International Fleet's command, demonstrating how states manufacture cohesion through shared enemies (Schmitt, 1932/2007). Once citizens perceive themselves as endangered by outsiders, they surrender autonomy in exchange for protection, accepting surveillance, militarisation, and the curtailment of civil liberties as necessary sacrifices. The novel's children internalise this logic, policing each other's loyalty and punishing deviation as potential collaboration with the enemy. When students deploy the slur "bugger" to dehumanise the Formics, they simultaneously learn that certain populations exist beyond ethical consideration—a lesson they apply horizontally, using prejudicial language to exclude peers deemed insufficiently valuable or conformist. This cascading dehumanisation illustrates what Nirmal Puwar (2004) terms the "space invader" dynamic, wherein institutions construct certain bodies as inherently out of place, justifying their marginalisation or elimination through appeals to natural order. The text thus demonstrates that othering operates on multiple scales simultaneously: the state others entire species to justify militarisation, institutions other students to rationalise abuse, and children other peers to secure social position.</w:t>
      </w:r>
    </w:p>
    <w:p>
      <w:pPr>
        <w:spacing w:before="480" w:after="240"/>
      </w:pPr>
      <w:r>
        <w:rPr>
          <w:rFonts w:ascii="Times New Roman" w:cs="Times New Roman" w:eastAsia="Times New Roman" w:hAnsi="Times New Roman"/>
          <w:b/>
          <w:bCs/>
          <w:sz w:val="24"/>
          <w:szCs w:val="24"/>
        </w:rPr>
        <w:t xml:space="preserve">Adolescent Identity, Internalised Oppression, and the Reproduction of Prejudice</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Card's depiction of adolescent social dynamics reveals how young people learn to deploy prejudicial language as instruments of control, reproducing systems of domination even as they suffer under them. Research on peer socialisation demonstrates that homophobic attitudes and behaviours during adolescence function primarily as mechanisms for establishing and maintaining gender conformity, with boys policing each other's adherence to hegemonic masculinity through insults, harassment, and violence (Poteat, 2007; Poteat &amp; Vecho, 2016; Katz-Wise et al., 2017). </w:t>
      </w:r>
      <w:r>
        <w:rPr>
          <w:rFonts w:ascii="Times New Roman" w:cs="Times New Roman" w:eastAsia="Times New Roman" w:hAnsi="Times New Roman"/>
          <w:b w:val="false"/>
          <w:bCs w:val="false"/>
          <w:i/>
          <w:iCs/>
          <w:sz w:val="24"/>
          <w:szCs w:val="24"/>
        </w:rPr>
        <w:t xml:space="preserve">Ender's Game</w:t>
      </w:r>
      <w:r>
        <w:rPr>
          <w:rFonts w:ascii="Times New Roman" w:cs="Times New Roman" w:eastAsia="Times New Roman" w:hAnsi="Times New Roman"/>
          <w:b w:val="false"/>
          <w:bCs w:val="false"/>
          <w:i w:val="false"/>
          <w:iCs w:val="false"/>
          <w:sz w:val="24"/>
          <w:szCs w:val="24"/>
        </w:rPr>
        <w:t xml:space="preserve"> encodes this dynamic through its protagonist's profound anxiety about physical intimacy with other boys, an anxiety that manifests as rage whenever his body is touched without permission. The shower scene with Bonzo Madrid—wherein Ender kills his commander in what the text frames as self-defence—crystallises the novel's homophobic subtext: male bodily proximity triggers violence because intimacy between boys threatens the social order that valorises dominance, autonomy, and impenetrability.</w:t>
      </w:r>
    </w:p>
    <w:p>
      <w:pPr>
        <w:spacing w:line="480" w:before="0" w:after="240"/>
        <w:ind w:firstLine="720"/>
        <w:jc w:val="left"/>
      </w:pPr>
      <w:r>
        <w:rPr>
          <w:rFonts w:ascii="Times New Roman" w:cs="Times New Roman" w:eastAsia="Times New Roman" w:hAnsi="Times New Roman"/>
          <w:sz w:val="24"/>
          <w:szCs w:val="24"/>
        </w:rPr>
        <w:t xml:space="preserve">The text's treatment of Ender's relationships with Alai and Bernard illustrates the contradictions inherent in Card's representation of same-sex affection. When Alai kisses Ender on the cheek and whispers "Salaam," Card employs religious language to elevate their bond beyond mere friendship, suggesting that authentic connection between boys requires spiritual sanctification to remain acceptable. Yet this moment of tenderness is immediately severed by institutional intervention—Graff transfers Ender to prevent the relationship from threatening his isolation. The novel thus acknowledges the possibility of same-sex intimacy whilst simultaneously punishing it, positioning homosocial bonds as dangerous precisely because they might foster loyalties that compete with state demands. Conversely, Ender's harassment of Bernard—mocking him through the message system, exposing his vulnerabilities—demonstrates how boys establish masculine credibility by enacting cruelty toward those perceived as weak or effeminate. This dynamic reflects research showing that adolescent boys use homophobic name-calling strategically to avoid marginalisation themselves, participating in collective harassment to signal conformity even when they feel no personal animosity toward targets (Pascoe, 2007; Rivers &amp; Duncan, 2013).</w:t>
      </w:r>
    </w:p>
    <w:p>
      <w:pPr>
        <w:spacing w:line="480" w:before="0" w:after="240"/>
        <w:ind w:firstLine="720"/>
        <w:jc w:val="left"/>
      </w:pPr>
      <w:r>
        <w:rPr>
          <w:rFonts w:ascii="Times New Roman" w:cs="Times New Roman" w:eastAsia="Times New Roman" w:hAnsi="Times New Roman"/>
          <w:sz w:val="24"/>
          <w:szCs w:val="24"/>
        </w:rPr>
        <w:t xml:space="preserve">Card's biographical context as a practicing Mormon with documented homophobic views inflects the text's representation of sexuality and conformity in ways that illuminate how hegemonic ideology operates through cultural production. His public statements opposing LGBTQ+ rights and his theological commitments to heteronormative family structures suggest that the novel's anxieties about male intimacy reflect broader conservative Christian discourses positioning homosexuality as disorder requiring correction (Card, 1990). The text's valorisation of violence as proof of masculinity—Ender must kill to demonstrate he is not weak, not vulnerable, not penetrable—reproduces what Connell (1995) terms "hegemonic masculinity": the culturally dominant ideal of manhood defined through domination of others and repudiation of femininity. By making Ender's survival dependent on his capacity for strategic violence, Card suggests that boys who fail to perform aggressive masculinity will be eliminated, naturalising a social order that rewards dominance whilst pathologising intimacy, vulnerability, and care.</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The novel's treatment of Rose the Nose exemplifies what Fordham and Ogbu (1986) term "high-expectation bigotry": the pressure placed on minority individuals to be exceptional to overcome structural discrimination, coupled with the internalisation of prejudicial stereotypes. Rose's self-designation—"Rose the Nose"—appropriates an anti-Semitic slur, transforming it into self-deprecating humour that positions him as collaborating in his own marginalisation. Research on self-defeating versus self-deprecating humour demonstrates that individuals from stigmatised groups often deploy jokes about their own identities as strategies for social acceptance, attempting to preempt others' prejudice by beating them to the punchline (Milius, 2016). However, this strategy rarely disarms bigotry; instead, it legitimises the underlying stereotypes whilst placing the burden of managing others' discomfort onto the marginalised subject.</w:t>
      </w:r>
    </w:p>
    <w:p>
      <w:pPr>
        <w:spacing w:line="480" w:before="0" w:after="240"/>
        <w:ind w:firstLine="720"/>
        <w:jc w:val="left"/>
      </w:pPr>
      <w:r>
        <w:rPr>
          <w:rFonts w:ascii="Times New Roman" w:cs="Times New Roman" w:eastAsia="Times New Roman" w:hAnsi="Times New Roman"/>
          <w:sz w:val="24"/>
          <w:szCs w:val="24"/>
        </w:rPr>
        <w:t xml:space="preserve">Card's narratorial commentary that Rose has been given command "just because he is Jewish" exemplifies how high-expectation bigotry functions: Rose's Jewishness becomes simultaneously the reason for his advancement (tokenistic inclusion to demonstrate institutional diversity) and the reason his authority is questioned (the suggestion that merit played no role in his selection). This double bind mirrors the experiences of students of colour in predominantly white institutions, who face assumptions that their achievements result from affirmative action rather than ability, rendering success itself evidence of illegitimacy (Steele, 2010). The text thus reveals how liberal institutions deploy diversity rhetoric to obscure structural racism whilst ensuring that marginalised individuals remain hypervisible and perpetually subject to scrutiny. Rose's self-deprecation functions as a survival strategy within this framework: by acknowledging his Jewishness through humour, he attempts to control the terms of his own othering, yet in doing so reproduces the anti-Semitic logic that positions him as inherently different and therefore suspect.</w:t>
      </w:r>
    </w:p>
    <w:p>
      <w:pPr>
        <w:spacing w:before="480" w:after="240"/>
      </w:pPr>
      <w:r>
        <w:rPr>
          <w:rFonts w:ascii="Times New Roman" w:cs="Times New Roman" w:eastAsia="Times New Roman" w:hAnsi="Times New Roman"/>
          <w:b/>
          <w:bCs/>
          <w:sz w:val="24"/>
          <w:szCs w:val="24"/>
        </w:rPr>
        <w:t xml:space="preserve">Digital Propaganda and the Prefiguration of Bot-Farming</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Peter and Valentine Wiggin's manipulation of global political discourse through their online personas Locke and Demosthenes prefigures contemporary concerns about digital propaganda, astroturfing, and algorithmic amplification of polarisation. Writing in 1985, Card imagined a networked communication system wherein anonymous users shape public opinion through strategic rhetoric, a vision that anticipated the internet's transformation into a contested space for ideological warfare. Peter creates Locke as a moderate, reasonable voice advocating measured responses to international tensions, whilst Valentine becomes Demosthenes, a fiery polemicist who inflames populist anger and nationalist fervour. Together, they demonstrate how manufactured consensus operates: citizens believe they participate in democratic discourse whilst powerful actors orchestrate outcomes behind the scenes. This dynamic mirrors contemporary research on information politics in authoritarian regimes, which reveals how states deploy seemingly grassroots movements to manufacture support for predetermined policies (Huang, 2018; Wang et al., 2024).</w:t>
      </w:r>
    </w:p>
    <w:p>
      <w:pPr>
        <w:spacing w:line="480" w:before="0" w:after="240"/>
        <w:ind w:firstLine="720"/>
        <w:jc w:val="left"/>
      </w:pPr>
      <w:r>
        <w:rPr>
          <w:rFonts w:ascii="Times New Roman" w:cs="Times New Roman" w:eastAsia="Times New Roman" w:hAnsi="Times New Roman"/>
          <w:sz w:val="24"/>
          <w:szCs w:val="24"/>
        </w:rPr>
        <w:t xml:space="preserve">The siblings' strategy exemplifies what scholars of propaganda term "manufacturing consent" through the illusion of debate (Herman &amp; Chomsky, 1988). By controlling both sides of political discourse—Locke's reasoned liberalism and Demosthenes' passionate populism—Peter ensures that legitimate alternatives to hegemonic power never enter public consciousness. The range of acceptable opinion remains narrow even as citizens believe they exercise choice between meaningful positions. This technique anticipates contemporary bot-farming operations, wherein coordinated networks of fake accounts create the appearance of organic public sentiment whilst actually executing predetermined campaigns (Woolley &amp; Howard, 2018; Badawy et al., 2019). Research on Chinese social media demonstrates that authoritarian regimes employ similar strategies, deploying armies of state-affiliated accounts to flood platforms with pro-government messaging whilst drowning out dissent through volume rather than censorship (King et al., 2017; Han, 2015).</w:t>
      </w:r>
    </w:p>
    <w:p>
      <w:pPr>
        <w:spacing w:line="480" w:before="0" w:after="240"/>
        <w:ind w:firstLine="720"/>
        <w:jc w:val="left"/>
      </w:pPr>
      <w:r>
        <w:rPr>
          <w:rFonts w:ascii="Times New Roman" w:cs="Times New Roman" w:eastAsia="Times New Roman" w:hAnsi="Times New Roman"/>
          <w:sz w:val="24"/>
          <w:szCs w:val="24"/>
        </w:rPr>
        <w:t xml:space="preserve">Card's representation of this manipulation is particularly prescient in its attention to how digital platforms exploit existing polarisation. Peter recognises that effective propaganda doesn't create divisions but amplifies them, leveraging citizens' pre-existing anxieties and resentments to channel political energy toward elite interests. Demosthenes' inflammatory rhetoric succeeds because it articulates genuine grievances—economic precarity, geopolitical instability, cultural change—whilst directing anger away from structural causes and toward convenient scapegoats. This strategy mirrors contemporary far-right movements' deployment of economic anxiety discourse to justify xenophobia, demonstrating how neoliberal capitalism's immiseration of working populations creates conditions for fascist resurgence (Bruff, 2014; Selwyn, 2015; Riley, 2018). By showing that Peter uses populist anger to secure his own path to global dominance, Card suggests that authoritarian leaders don't eliminate inequality but weaponise it, transforming legitimate rage about injustice into support for systems that perpetuate domination.</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The novel's treatment of this dynamic becomes particularly complex when considering Card's own political commitments. His documented support for conservative causes and opposition to democratic socialism suggests sympathy with Locke's moderate liberalism, yet the text reveals that Locke exists only to make Demosthenes' extremism appear reasonable by comparison. This narrative choice positions readers to recognise that liberal centrism and reactionary populism are not opposites but complementary strategies for maintaining elite power. Peter's dual performance demonstrates what Althusser (1971) terms ideological state apparatuses' function: to produce subjects who identify their interests with the system whilst believing themselves free. Citizens who debate whether to support Locke or Demosthenes never question the underlying structure both personas defend, ensuring that political discourse remains safely within parameters that serve capital. The text thus offers a critique of hegemonic liberalism's complicity in fascism's rise, revealing how centrist appeals to civility and reason often function as cover for the violence required to maintain capitalist social relations.</w:t>
      </w:r>
    </w:p>
    <w:p>
      <w:pPr>
        <w:spacing w:before="480" w:after="240"/>
      </w:pPr>
      <w:r>
        <w:rPr>
          <w:rFonts w:ascii="Times New Roman" w:cs="Times New Roman" w:eastAsia="Times New Roman" w:hAnsi="Times New Roman"/>
          <w:b/>
          <w:bCs/>
          <w:sz w:val="24"/>
          <w:szCs w:val="24"/>
        </w:rPr>
        <w:t xml:space="preserve">Collectivism as Control: The State's Weaponisation of Belonging</w:t>
      </w:r>
    </w:p>
    <w:p>
      <w:pPr>
        <w:spacing w:line="480" w:before="0" w:after="240"/>
        <w:ind w:firstLine="720"/>
        <w:jc w:val="left"/>
      </w:pPr>
      <w:r>
        <w:rPr>
          <w:rFonts w:ascii="Times New Roman" w:cs="Times New Roman" w:eastAsia="Times New Roman" w:hAnsi="Times New Roman"/>
          <w:sz w:val="24"/>
          <w:szCs w:val="24"/>
        </w:rPr>
        <w:t xml:space="preserve">Battle School's organisation into armies commanded by student officers demonstrates how institutions harness adolescents' developmental need for belonging and transform it into a mechanism of control. Research on armed group socialisation reveals that military institutions deliberately cultivate strong in-group bonds whilst positioning outsiders as threats, ensuring that soldiers' primary loyalty shifts from family and community to their unit (Hoover Green, 2016; Alderdice et al., 2023). The novel depicts this process explicitly: Ender's isolation from peers increases his psychological vulnerability, making him desperate for connection even as the system ensures that every relationship he forms serves institutional purposes. When he finally gains command of Dragon Army, his soldiers develop intense loyalty not because they share political commitments but because collective success depends on individual submission to his authority.</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This dynamic illustrates the paradox at the heart of military collectivism: it promises community whilst demanding the surrender of individual conscience. Card's soldiers follow Ender's orders without question, trusting that his strategic genius justifies their obedience. The novel employs imperative language throughout Battle Room sequences—'Move!', 'Cover!', 'Hold formation!'—positioning readers within an authoritarian framework where hesitation equals failure and doubt constitutes betrayal. This rhetorical strategy naturalises what Bauman (2001) terms "adiaphorisation": the process through which moral considerations are rendered irrelevant to action, allowing individuals to commit atrocities whilst believing they serve noble purposes. The soldiers don't question whether their actions are ethical; they concern themselves only with tactical execution, having internalised the military's logic that victory justifies any method.</w:t>
      </w:r>
    </w:p>
    <w:p>
      <w:pPr>
        <w:spacing w:line="480" w:before="0" w:after="240"/>
        <w:ind w:firstLine="720"/>
        <w:jc w:val="left"/>
      </w:pPr>
      <w:r>
        <w:rPr>
          <w:rFonts w:ascii="Times New Roman" w:cs="Times New Roman" w:eastAsia="Times New Roman" w:hAnsi="Times New Roman"/>
          <w:sz w:val="24"/>
          <w:szCs w:val="24"/>
        </w:rPr>
        <w:t xml:space="preserve">The text's representation of this collectivism becomes particularly troubling when read against its racialised othering of the Formics. Battle School cultivates precisely the hive-mind collective consciousness that the novel demonises in its alien antagonists, suggesting that the difference between heroic unity and monstrous collectivism lies not in structure but in whose interests are served. Human soldiers surrender individual autonomy to commanders just as Formic drones submit to Queens, yet the text frames one as necessary discipline and the other as proof of inhuman nature. This contradiction exposes the ideological function of anti-collectivist rhetoric in liberal-capitalist societies: collectivism is acceptable—indeed mandatory—when it serves state and capital, but becomes pathological when it might enable resistance to hegemonic power. The novel thus reveals how institutions deploy seemingly opposed values strategically, celebrating individual merit when it justifies hierarchy whilst demanding collective sacrifice when it ensures compliance.</w:t>
      </w:r>
    </w:p>
    <w:p>
      <w:pPr>
        <w:spacing w:line="480" w:before="0" w:after="240"/>
        <w:ind w:firstLine="720"/>
        <w:jc w:val="left"/>
      </w:pPr>
      <w:r>
        <w:rPr>
          <w:rFonts w:ascii="Times New Roman" w:cs="Times New Roman" w:eastAsia="Times New Roman" w:hAnsi="Times New Roman"/>
          <w:sz w:val="24"/>
          <w:szCs w:val="24"/>
        </w:rPr>
        <w:t xml:space="preserve">Card's treatment of Ender's simultaneous isolation and integration illuminates this dynamic's psychological dimensions. Throughout his training, Ender experiences profound loneliness, a condition that research demonstrates increases susceptibility to authoritarian appeals and conformist pressure (Hawkley &amp; Cacioppo, 2010). The state manufactures this isolation deliberately—Graff explicitly discusses keeping Ender separate—because lonely individuals prove more willing to accept belonging on the institution's terms, having no alternative sources of community or validation. When Ender finally receives social acceptance through Dragon Army's success, he becomes invested in the system that previously tormented him, demonstrating how victims of institutional violence often become its most effective defenders once granted minimal status. This pattern mirrors broader processes of hegemonic reproduction wherein marginalised groups compete for proximity to power rather than challenging the structures that marginalise them, ensuring that potential solidarity fragments into horizontal conflict.</w:t>
      </w:r>
    </w:p>
    <w:p>
      <w:pPr>
        <w:spacing w:before="480" w:after="240"/>
      </w:pPr>
      <w:r>
        <w:rPr>
          <w:rFonts w:ascii="Times New Roman" w:cs="Times New Roman" w:eastAsia="Times New Roman" w:hAnsi="Times New Roman"/>
          <w:b/>
          <w:bCs/>
          <w:sz w:val="24"/>
          <w:szCs w:val="24"/>
        </w:rPr>
        <w:t xml:space="preserve">Conclusion: The Persistence of Ideological Control</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Orson Scott Card's </w:t>
      </w:r>
      <w:r>
        <w:rPr>
          <w:rFonts w:ascii="Times New Roman" w:cs="Times New Roman" w:eastAsia="Times New Roman" w:hAnsi="Times New Roman"/>
          <w:b w:val="false"/>
          <w:bCs w:val="false"/>
          <w:i/>
          <w:iCs/>
          <w:sz w:val="24"/>
          <w:szCs w:val="24"/>
        </w:rPr>
        <w:t xml:space="preserve">Ender's Game</w:t>
      </w:r>
      <w:r>
        <w:rPr>
          <w:rFonts w:ascii="Times New Roman" w:cs="Times New Roman" w:eastAsia="Times New Roman" w:hAnsi="Times New Roman"/>
          <w:b w:val="false"/>
          <w:bCs w:val="false"/>
          <w:i w:val="false"/>
          <w:iCs w:val="false"/>
          <w:sz w:val="24"/>
          <w:szCs w:val="24"/>
        </w:rPr>
        <w:t xml:space="preserve"> offers a sustained—if ideologically conflicted—examination of how authoritarian structures deploy language and ideology to control adolescent subjects, transforming children into instruments of state violence through the manipulation of developmental needs for belonging, recognition, and purpose. The novel demonstrates that social control operates most effectively not through overt coercion but through the production of subjects who internalise hegemonic logic, police each other's conformity, and willingly participate in their own exploitation because they have learned to speak the language of power as if it were their own authentic voice. Battle School succeeds in creating Ender not because it forces him to commit genocide but because it constructs conditions wherein xenocide appears as rational necessity, tragic heroism, and inevitable conclusion of strategic thinking elevated to virtue.</w:t>
      </w:r>
    </w:p>
    <w:p>
      <w:pPr>
        <w:spacing w:line="480" w:before="0" w:after="240"/>
        <w:ind w:firstLine="720"/>
        <w:jc w:val="left"/>
      </w:pPr>
      <w:r>
        <w:rPr>
          <w:rFonts w:ascii="Times New Roman" w:cs="Times New Roman" w:eastAsia="Times New Roman" w:hAnsi="Times New Roman"/>
          <w:sz w:val="24"/>
          <w:szCs w:val="24"/>
        </w:rPr>
        <w:t xml:space="preserve">The text's representation of bot-farming, racialised othering, internalised homophobia, and high-expectation bigotry reveals the multiple registers through which states ensure their reproduction across generations. By demonstrating that Peter and Valentine's digital manipulation anticipates contemporary propaganda techniques, Card positions readers to recognise how manufactured consensus operates through the illusion of democratic discourse. By depicting the Formics through Orientalist tropes that persist in contemporary representations of Asian nations, the novel exposes how racial capitalism requires external enemies to justify internal discipline. By encoding Ender's violent repudiation of same-sex intimacy, the text illuminates how hegemonic masculinity demands the constant performance of dominance and the punishment of vulnerability. And by showing Rose's self-deprecating collaboration in anti-Semitic othering, Card reveals how marginalised individuals often reproduce the systems that oppress them, seeking survival through identification with power rather than solidarity with fellow victims.</w:t>
      </w:r>
    </w:p>
    <w:p>
      <w:pPr>
        <w:spacing w:line="480" w:before="0" w:after="240"/>
        <w:ind w:firstLine="720"/>
        <w:jc w:val="left"/>
      </w:pPr>
      <w:r>
        <w:rPr>
          <w:rFonts w:ascii="Times New Roman" w:cs="Times New Roman" w:eastAsia="Times New Roman" w:hAnsi="Times New Roman"/>
          <w:b w:val="false"/>
          <w:bCs w:val="false"/>
          <w:i w:val="false"/>
          <w:iCs w:val="false"/>
          <w:sz w:val="24"/>
          <w:szCs w:val="24"/>
        </w:rPr>
        <w:t xml:space="preserve">What remains troubling about </w:t>
      </w:r>
      <w:r>
        <w:rPr>
          <w:rFonts w:ascii="Times New Roman" w:cs="Times New Roman" w:eastAsia="Times New Roman" w:hAnsi="Times New Roman"/>
          <w:b w:val="false"/>
          <w:bCs w:val="false"/>
          <w:i/>
          <w:iCs/>
          <w:sz w:val="24"/>
          <w:szCs w:val="24"/>
        </w:rPr>
        <w:t xml:space="preserve">Ender's Game</w:t>
      </w:r>
      <w:r>
        <w:rPr>
          <w:rFonts w:ascii="Times New Roman" w:cs="Times New Roman" w:eastAsia="Times New Roman" w:hAnsi="Times New Roman"/>
          <w:b w:val="false"/>
          <w:bCs w:val="false"/>
          <w:i w:val="false"/>
          <w:iCs w:val="false"/>
          <w:sz w:val="24"/>
          <w:szCs w:val="24"/>
        </w:rPr>
        <w:t xml:space="preserve"> is its ultimate recuperation of the violence it depicts. The novel concludes with Ender's realisation that the Formics posed no threat—they had abandoned aggression after their first encounter with humanity—meaning his genocide was entirely preventable. Yet this revelation generates individual guilt rather than structural critique: Ender suffers psychologically, but the International Fleet faces no accountability, Battle School continues recruiting children, and Valentine writes a history that transforms xenocide into tragic misunderstanding. This ending suggests that systemic violence can be addressed through personal redemption rather than collective action, positioning readers to accept that authoritarian institutions might abuse power but remain fundamentally necessary. The text thus exemplifies what Jameson (1981) terms postmodern culture's inability to imagine alternatives to existing power structures, even as it documents their brutality.</w:t>
      </w:r>
    </w:p>
    <w:p>
      <w:pPr>
        <w:spacing w:line="480" w:before="0" w:after="240"/>
        <w:ind w:firstLine="720"/>
        <w:jc w:val="left"/>
      </w:pPr>
      <w:r>
        <w:rPr>
          <w:rFonts w:ascii="Times New Roman" w:cs="Times New Roman" w:eastAsia="Times New Roman" w:hAnsi="Times New Roman"/>
          <w:sz w:val="24"/>
          <w:szCs w:val="24"/>
        </w:rPr>
        <w:t xml:space="preserve">Nevertheless, the novel's very contradictions render it pedagogically valuable for understanding how ideology functions. Card's simultaneous critique and reproduction of hegemonic logic demonstrates that even critical consciousness remains embedded within the systems it analyses, unable to fully escape the linguistic and conceptual frameworks that structure thought itself. For educators teaching adolescents about social control, propaganda, and the reproduction of prejudice, Ender's Game offers a text that both depicts these mechanisms and participates in them, allowing students to observe how language shapes reality whilst remaining skeptical of any claim—including this analysis—to stand outside ideology. The novel positions readers to recognise that we are all, like Ender, conscripted into systems larger than ourselves, speaking languages we did not invent, reproducing hierarchies we may consciously oppose. The question becomes not whether we can escape ideological control—we cannot—but whether we can develop sufficient critical distance to resist its most violent imperatives, refusing to transform our own suffering into justification for others' annihilation. This, ultimately, is the lesson Battle School fails to teach its students: that understanding one's enemy need not culminate in their destruction, that solidarity might prove more powerful than dominance, and that the survival of humanity might depend not on perfecting the art of war but on learning, finally, to refuse it.</w:t>
      </w:r>
    </w:p>
    <w:p>
      <w:pPr>
        <w:pageBreakBefore/>
        <w:spacing w:after="240"/>
        <w:jc w:val="center"/>
      </w:pPr>
      <w:r>
        <w:rPr>
          <w:rFonts w:ascii="Times New Roman" w:cs="Times New Roman" w:eastAsia="Times New Roman" w:hAnsi="Times New Roman"/>
          <w:b/>
          <w:bCs/>
          <w:sz w:val="24"/>
          <w:szCs w:val="24"/>
        </w:rPr>
        <w:t xml:space="preserve">References</w:t>
      </w:r>
    </w:p>
    <w:p>
      <w:pPr>
        <w:spacing w:line="480" w:before="0" w:after="240"/>
        <w:ind w:left="720" w:hanging="720"/>
        <w:jc w:val="left"/>
      </w:pPr>
      <w:r>
        <w:rPr>
          <w:rFonts w:ascii="Times New Roman" w:cs="Times New Roman" w:eastAsia="Times New Roman" w:hAnsi="Times New Roman"/>
          <w:sz w:val="24"/>
          <w:szCs w:val="24"/>
        </w:rPr>
        <w:t xml:space="preserve">Agamben, G. (1998). Homo sacer: Sovereign power and bare life. Stanford University Press.</w:t>
      </w:r>
    </w:p>
    <w:p>
      <w:pPr>
        <w:spacing w:line="480" w:before="0" w:after="240"/>
        <w:ind w:left="720" w:hanging="720"/>
        <w:jc w:val="left"/>
      </w:pPr>
      <w:r>
        <w:rPr>
          <w:rFonts w:ascii="Times New Roman" w:cs="Times New Roman" w:eastAsia="Times New Roman" w:hAnsi="Times New Roman"/>
          <w:sz w:val="24"/>
          <w:szCs w:val="24"/>
        </w:rPr>
        <w:t xml:space="preserve">Alderdice, J., Simi, P., Swed, O., &amp; Vegter, E. (2023). Scoping review of military culture, military identity, and mental health outcomes in military personnel. Military Medicine, 188(3-4), e635-e645. https://doi.org/10.1093/milmed/usab385</w:t>
      </w:r>
    </w:p>
    <w:p>
      <w:pPr>
        <w:spacing w:line="480" w:before="0" w:after="240"/>
        <w:ind w:left="720" w:hanging="720"/>
        <w:jc w:val="left"/>
      </w:pPr>
      <w:r>
        <w:rPr>
          <w:rFonts w:ascii="Times New Roman" w:cs="Times New Roman" w:eastAsia="Times New Roman" w:hAnsi="Times New Roman"/>
          <w:sz w:val="24"/>
          <w:szCs w:val="24"/>
        </w:rPr>
        <w:t xml:space="preserve">Althusser, L. (1971). Ideology and ideological state apparatuses. In Lenin and philosophy and other essays (pp. 127-186). Monthly Review Press.</w:t>
      </w:r>
    </w:p>
    <w:p>
      <w:pPr>
        <w:spacing w:line="480" w:before="0" w:after="240"/>
        <w:ind w:left="720" w:hanging="720"/>
        <w:jc w:val="left"/>
      </w:pPr>
      <w:r>
        <w:rPr>
          <w:rFonts w:ascii="Times New Roman" w:cs="Times New Roman" w:eastAsia="Times New Roman" w:hAnsi="Times New Roman"/>
          <w:sz w:val="24"/>
          <w:szCs w:val="24"/>
        </w:rPr>
        <w:t xml:space="preserve">Badawy, A., Ferrara, E., &amp; Lerman, K. (2019). Analyzing the digital traces of political manipulation: The 2016 Russian interference Twitter campaign. In Proceedings of the 2018 IEEE/ACM International Conference on Advances in Social Networks Analysis and Mining (pp. 258-265). IEEE Press.</w:t>
      </w:r>
    </w:p>
    <w:p>
      <w:pPr>
        <w:spacing w:line="480" w:before="0" w:after="240"/>
        <w:ind w:left="720" w:hanging="720"/>
        <w:jc w:val="left"/>
      </w:pPr>
      <w:r>
        <w:rPr>
          <w:rFonts w:ascii="Times New Roman" w:cs="Times New Roman" w:eastAsia="Times New Roman" w:hAnsi="Times New Roman"/>
          <w:sz w:val="24"/>
          <w:szCs w:val="24"/>
        </w:rPr>
        <w:t xml:space="preserve">Bahador, B. (2017). Mapping the enemy image. Journal of Peace Research, 54(1), 3-19.</w:t>
      </w:r>
    </w:p>
    <w:p>
      <w:pPr>
        <w:spacing w:line="480" w:before="0" w:after="240"/>
        <w:ind w:left="720" w:hanging="720"/>
        <w:jc w:val="left"/>
      </w:pPr>
      <w:r>
        <w:rPr>
          <w:rFonts w:ascii="Times New Roman" w:cs="Times New Roman" w:eastAsia="Times New Roman" w:hAnsi="Times New Roman"/>
          <w:sz w:val="24"/>
          <w:szCs w:val="24"/>
        </w:rPr>
        <w:t xml:space="preserve">Bauman, Z. (2001). The individualized society. Polity Press.</w:t>
      </w:r>
    </w:p>
    <w:p>
      <w:pPr>
        <w:spacing w:line="480" w:before="0" w:after="240"/>
        <w:ind w:left="720" w:hanging="720"/>
        <w:jc w:val="left"/>
      </w:pPr>
      <w:r>
        <w:rPr>
          <w:rFonts w:ascii="Times New Roman" w:cs="Times New Roman" w:eastAsia="Times New Roman" w:hAnsi="Times New Roman"/>
          <w:sz w:val="24"/>
          <w:szCs w:val="24"/>
        </w:rPr>
        <w:t xml:space="preserve">Bourdieu, P., &amp; Passeron, J. C. (1977). Reproduction in education, society and culture. Sage.</w:t>
      </w:r>
    </w:p>
    <w:p>
      <w:pPr>
        <w:spacing w:line="480" w:before="0" w:after="240"/>
        <w:ind w:left="720" w:hanging="720"/>
        <w:jc w:val="left"/>
      </w:pPr>
      <w:r>
        <w:rPr>
          <w:rFonts w:ascii="Times New Roman" w:cs="Times New Roman" w:eastAsia="Times New Roman" w:hAnsi="Times New Roman"/>
          <w:sz w:val="24"/>
          <w:szCs w:val="24"/>
        </w:rPr>
        <w:t xml:space="preserve">Brown, W. (2015). Undoing the demos: Neoliberalism's stealth revolution. Zone Books.</w:t>
      </w:r>
    </w:p>
    <w:p>
      <w:pPr>
        <w:spacing w:line="480" w:before="0" w:after="240"/>
        <w:ind w:left="720" w:hanging="720"/>
        <w:jc w:val="left"/>
      </w:pPr>
      <w:r>
        <w:rPr>
          <w:rFonts w:ascii="Times New Roman" w:cs="Times New Roman" w:eastAsia="Times New Roman" w:hAnsi="Times New Roman"/>
          <w:sz w:val="24"/>
          <w:szCs w:val="24"/>
        </w:rPr>
        <w:t xml:space="preserve">Bruff, I. (2014). The rise of authoritarian neoliberalism. Rethinking Marxism, 26(1), 113-129.</w:t>
      </w:r>
    </w:p>
    <w:p>
      <w:pPr>
        <w:spacing w:line="480" w:before="0" w:after="240"/>
        <w:ind w:left="720" w:hanging="720"/>
        <w:jc w:val="left"/>
      </w:pPr>
      <w:r>
        <w:rPr>
          <w:rFonts w:ascii="Times New Roman" w:cs="Times New Roman" w:eastAsia="Times New Roman" w:hAnsi="Times New Roman"/>
          <w:sz w:val="24"/>
          <w:szCs w:val="24"/>
        </w:rPr>
        <w:t xml:space="preserve">Butler, J. (1990). Gender trouble: Feminism and the subversion of identity. Routledge.</w:t>
      </w:r>
    </w:p>
    <w:p>
      <w:pPr>
        <w:spacing w:line="480" w:before="0" w:after="240"/>
        <w:ind w:left="720" w:hanging="720"/>
        <w:jc w:val="left"/>
      </w:pPr>
      <w:r>
        <w:rPr>
          <w:rFonts w:ascii="Times New Roman" w:cs="Times New Roman" w:eastAsia="Times New Roman" w:hAnsi="Times New Roman"/>
          <w:sz w:val="24"/>
          <w:szCs w:val="24"/>
        </w:rPr>
        <w:t xml:space="preserve">Card, O. S. (1985). Ender's game. Tor Books.</w:t>
      </w:r>
    </w:p>
    <w:p>
      <w:pPr>
        <w:spacing w:line="480" w:before="0" w:after="240"/>
        <w:ind w:left="720" w:hanging="720"/>
        <w:jc w:val="left"/>
      </w:pPr>
      <w:r>
        <w:rPr>
          <w:rFonts w:ascii="Times New Roman" w:cs="Times New Roman" w:eastAsia="Times New Roman" w:hAnsi="Times New Roman"/>
          <w:sz w:val="24"/>
          <w:szCs w:val="24"/>
        </w:rPr>
        <w:t xml:space="preserve">Card, O. S. (1990). The hypocrites of homosexuality. Sunstone, 14(1), 44-46.</w:t>
      </w:r>
    </w:p>
    <w:p>
      <w:pPr>
        <w:spacing w:line="480" w:before="0" w:after="240"/>
        <w:ind w:left="720" w:hanging="720"/>
        <w:jc w:val="left"/>
      </w:pPr>
      <w:r>
        <w:rPr>
          <w:rFonts w:ascii="Times New Roman" w:cs="Times New Roman" w:eastAsia="Times New Roman" w:hAnsi="Times New Roman"/>
          <w:sz w:val="24"/>
          <w:szCs w:val="24"/>
        </w:rPr>
        <w:t xml:space="preserve">Connell, R. W. (1995). Masculinities. University of California Press.</w:t>
      </w:r>
    </w:p>
    <w:p>
      <w:pPr>
        <w:spacing w:line="480" w:before="0" w:after="240"/>
        <w:ind w:left="720" w:hanging="720"/>
        <w:jc w:val="left"/>
      </w:pPr>
      <w:r>
        <w:rPr>
          <w:rFonts w:ascii="Times New Roman" w:cs="Times New Roman" w:eastAsia="Times New Roman" w:hAnsi="Times New Roman"/>
          <w:sz w:val="24"/>
          <w:szCs w:val="24"/>
        </w:rPr>
        <w:t xml:space="preserve">Fordham, S., &amp; Ogbu, J. U. (1986). Black students' school success: Coping with the burden of 'acting white.' The Urban Review, 18(3), 176-206.</w:t>
      </w:r>
    </w:p>
    <w:p>
      <w:pPr>
        <w:spacing w:line="480" w:before="0" w:after="240"/>
        <w:ind w:left="720" w:hanging="720"/>
        <w:jc w:val="left"/>
      </w:pPr>
      <w:r>
        <w:rPr>
          <w:rFonts w:ascii="Times New Roman" w:cs="Times New Roman" w:eastAsia="Times New Roman" w:hAnsi="Times New Roman"/>
          <w:sz w:val="24"/>
          <w:szCs w:val="24"/>
        </w:rPr>
        <w:t xml:space="preserve">Foucault, M. (1977). Discipline and punish: The birth of the prison. Vintage Books.</w:t>
      </w:r>
    </w:p>
    <w:p>
      <w:pPr>
        <w:spacing w:line="480" w:before="0" w:after="240"/>
        <w:ind w:left="720" w:hanging="720"/>
        <w:jc w:val="left"/>
      </w:pPr>
      <w:r>
        <w:rPr>
          <w:rFonts w:ascii="Times New Roman" w:cs="Times New Roman" w:eastAsia="Times New Roman" w:hAnsi="Times New Roman"/>
          <w:sz w:val="24"/>
          <w:szCs w:val="24"/>
        </w:rPr>
        <w:t xml:space="preserve">Han, R. (2015). Manufacturing consent in cyberspace: China's 'fifty-cent army.' Journal of Current Chinese Affairs, 44(2), 105-134.</w:t>
      </w:r>
    </w:p>
    <w:p>
      <w:pPr>
        <w:spacing w:line="480" w:before="0" w:after="240"/>
        <w:ind w:left="720" w:hanging="720"/>
        <w:jc w:val="left"/>
      </w:pPr>
      <w:r>
        <w:rPr>
          <w:rFonts w:ascii="Times New Roman" w:cs="Times New Roman" w:eastAsia="Times New Roman" w:hAnsi="Times New Roman"/>
          <w:sz w:val="24"/>
          <w:szCs w:val="24"/>
        </w:rPr>
        <w:t xml:space="preserve">Harding, S. (2011). The postcolonial science and technology studies reader. Duke University Press.</w:t>
      </w:r>
    </w:p>
    <w:p>
      <w:pPr>
        <w:spacing w:line="480" w:before="0" w:after="240"/>
        <w:ind w:left="720" w:hanging="720"/>
        <w:jc w:val="left"/>
      </w:pPr>
      <w:r>
        <w:rPr>
          <w:rFonts w:ascii="Times New Roman" w:cs="Times New Roman" w:eastAsia="Times New Roman" w:hAnsi="Times New Roman"/>
          <w:sz w:val="24"/>
          <w:szCs w:val="24"/>
        </w:rPr>
        <w:t xml:space="preserve">Haslam, N. (2006). Dehumanization: An integrative review. Personality and Social Psychology Review, 10(3), 252-264.</w:t>
      </w:r>
    </w:p>
    <w:p>
      <w:pPr>
        <w:spacing w:line="480" w:before="0" w:after="240"/>
        <w:ind w:left="720" w:hanging="720"/>
        <w:jc w:val="left"/>
      </w:pPr>
      <w:r>
        <w:rPr>
          <w:rFonts w:ascii="Times New Roman" w:cs="Times New Roman" w:eastAsia="Times New Roman" w:hAnsi="Times New Roman"/>
          <w:sz w:val="24"/>
          <w:szCs w:val="24"/>
        </w:rPr>
        <w:t xml:space="preserve">Hawkley, L. C., &amp; Cacioppo, J. T. (2010). Loneliness matters: A theoretical and empirical review of consequences and mechanisms. Annals of Behavioral Medicine, 40(2), 218-227.</w:t>
      </w:r>
    </w:p>
    <w:p>
      <w:pPr>
        <w:spacing w:line="480" w:before="0" w:after="240"/>
        <w:ind w:left="720" w:hanging="720"/>
        <w:jc w:val="left"/>
      </w:pPr>
      <w:r>
        <w:rPr>
          <w:rFonts w:ascii="Times New Roman" w:cs="Times New Roman" w:eastAsia="Times New Roman" w:hAnsi="Times New Roman"/>
          <w:sz w:val="24"/>
          <w:szCs w:val="24"/>
        </w:rPr>
        <w:t xml:space="preserve">Herman, E. S., &amp; Chomsky, N. (1988). Manufacturing consent: The political economy of the mass media. Pantheon Books.</w:t>
      </w:r>
    </w:p>
    <w:p>
      <w:pPr>
        <w:spacing w:line="480" w:before="0" w:after="240"/>
        <w:ind w:left="720" w:hanging="720"/>
        <w:jc w:val="left"/>
      </w:pPr>
      <w:r>
        <w:rPr>
          <w:rFonts w:ascii="Times New Roman" w:cs="Times New Roman" w:eastAsia="Times New Roman" w:hAnsi="Times New Roman"/>
          <w:sz w:val="24"/>
          <w:szCs w:val="24"/>
        </w:rPr>
        <w:t xml:space="preserve">Hoover Green, A. (2016). Armed group institutions and combatant socialization: Evidence from El Salvador. Journal of Peace Research, 53(3), 399-416.</w:t>
      </w:r>
    </w:p>
    <w:p>
      <w:pPr>
        <w:spacing w:line="480" w:before="0" w:after="240"/>
        <w:ind w:left="720" w:hanging="720"/>
        <w:jc w:val="left"/>
      </w:pPr>
      <w:r>
        <w:rPr>
          <w:rFonts w:ascii="Times New Roman" w:cs="Times New Roman" w:eastAsia="Times New Roman" w:hAnsi="Times New Roman"/>
          <w:sz w:val="24"/>
          <w:szCs w:val="24"/>
        </w:rPr>
        <w:t xml:space="preserve">Huang, H. (2018). The pathways of authoritarian audiences, rhetoric, and propaganda in international crises: Evidence from China. International Studies Quarterly, 62(3), 567-579.</w:t>
      </w:r>
    </w:p>
    <w:p>
      <w:pPr>
        <w:spacing w:line="480" w:before="0" w:after="240"/>
        <w:ind w:left="720" w:hanging="720"/>
        <w:jc w:val="left"/>
      </w:pPr>
      <w:r>
        <w:rPr>
          <w:rFonts w:ascii="Times New Roman" w:cs="Times New Roman" w:eastAsia="Times New Roman" w:hAnsi="Times New Roman"/>
          <w:sz w:val="24"/>
          <w:szCs w:val="24"/>
        </w:rPr>
        <w:t xml:space="preserve">Jameson, F. (1981). The political unconscious: Narrative as a socially symbolic act. Cornell University Press.</w:t>
      </w:r>
    </w:p>
    <w:p>
      <w:pPr>
        <w:spacing w:line="480" w:before="0" w:after="240"/>
        <w:ind w:left="720" w:hanging="720"/>
        <w:jc w:val="left"/>
      </w:pPr>
      <w:r>
        <w:rPr>
          <w:rFonts w:ascii="Times New Roman" w:cs="Times New Roman" w:eastAsia="Times New Roman" w:hAnsi="Times New Roman"/>
          <w:sz w:val="24"/>
          <w:szCs w:val="24"/>
        </w:rPr>
        <w:t xml:space="preserve">Katz-Wise, S. L., Rosario, M., &amp; Tsappis, M. (2017). The influence of peers during adolescence: Does homophobic name calling by peers change gender identity? Journal of Adolescent Health, 60(2), S32.</w:t>
      </w:r>
    </w:p>
    <w:p>
      <w:pPr>
        <w:spacing w:line="480" w:before="0" w:after="240"/>
        <w:ind w:left="720" w:hanging="720"/>
        <w:jc w:val="left"/>
      </w:pPr>
      <w:r>
        <w:rPr>
          <w:rFonts w:ascii="Times New Roman" w:cs="Times New Roman" w:eastAsia="Times New Roman" w:hAnsi="Times New Roman"/>
          <w:sz w:val="24"/>
          <w:szCs w:val="24"/>
        </w:rPr>
        <w:t xml:space="preserve">King, G., Pan, J., &amp; Roberts, M. E. (2017). How the Chinese government fabricates social media posts for strategic distraction, not engaged argument. American Political Science Review, 111(3), 484-501.</w:t>
      </w:r>
    </w:p>
    <w:p>
      <w:pPr>
        <w:spacing w:line="480" w:before="0" w:after="240"/>
        <w:ind w:left="720" w:hanging="720"/>
        <w:jc w:val="left"/>
      </w:pPr>
      <w:r>
        <w:rPr>
          <w:rFonts w:ascii="Times New Roman" w:cs="Times New Roman" w:eastAsia="Times New Roman" w:hAnsi="Times New Roman"/>
          <w:sz w:val="24"/>
          <w:szCs w:val="24"/>
        </w:rPr>
        <w:t xml:space="preserve">Lee, R. G. (1999). Orientals: Asian Americans in popular culture. Temple University Press.</w:t>
      </w:r>
    </w:p>
    <w:p>
      <w:pPr>
        <w:spacing w:line="480" w:before="0" w:after="240"/>
        <w:ind w:left="720" w:hanging="720"/>
        <w:jc w:val="left"/>
      </w:pPr>
      <w:r>
        <w:rPr>
          <w:rFonts w:ascii="Times New Roman" w:cs="Times New Roman" w:eastAsia="Times New Roman" w:hAnsi="Times New Roman"/>
          <w:sz w:val="24"/>
          <w:szCs w:val="24"/>
        </w:rPr>
        <w:t xml:space="preserve">Loomba, A. (2015). Colonialism/postcolonialism (3rd ed.). Routledge.</w:t>
      </w:r>
    </w:p>
    <w:p>
      <w:pPr>
        <w:spacing w:line="480" w:before="0" w:after="240"/>
        <w:ind w:left="720" w:hanging="720"/>
        <w:jc w:val="left"/>
      </w:pPr>
      <w:r>
        <w:rPr>
          <w:rFonts w:ascii="Times New Roman" w:cs="Times New Roman" w:eastAsia="Times New Roman" w:hAnsi="Times New Roman"/>
          <w:sz w:val="24"/>
          <w:szCs w:val="24"/>
        </w:rPr>
        <w:t xml:space="preserve">Marchetti, G. (1993). Romance and the 'Yellow Peril': Race, sex, and discursive strategies in Hollywood fiction. University of California Press.</w:t>
      </w:r>
    </w:p>
    <w:p>
      <w:pPr>
        <w:spacing w:line="480" w:before="0" w:after="240"/>
        <w:ind w:left="720" w:hanging="720"/>
        <w:jc w:val="left"/>
      </w:pPr>
      <w:r>
        <w:rPr>
          <w:rFonts w:ascii="Times New Roman" w:cs="Times New Roman" w:eastAsia="Times New Roman" w:hAnsi="Times New Roman"/>
          <w:sz w:val="24"/>
          <w:szCs w:val="24"/>
        </w:rPr>
        <w:t xml:space="preserve">Mbembe, A. (2019). Necropolitics. Duke University Press.</w:t>
      </w:r>
    </w:p>
    <w:p>
      <w:pPr>
        <w:spacing w:line="480" w:before="0" w:after="240"/>
        <w:ind w:left="720" w:hanging="720"/>
        <w:jc w:val="left"/>
      </w:pPr>
      <w:r>
        <w:rPr>
          <w:rFonts w:ascii="Times New Roman" w:cs="Times New Roman" w:eastAsia="Times New Roman" w:hAnsi="Times New Roman"/>
          <w:sz w:val="24"/>
          <w:szCs w:val="24"/>
        </w:rPr>
        <w:t xml:space="preserve">Milius, N. (2016). Self-defeating vs. self-deprecating humour: A case of being laughed at vs. laughed with? [Doctoral dissertation, Swinburne University of Technology]. Swinburne Research Bank. https://doi.org/10.4225/50/57A38C8C6E6B5</w:t>
      </w:r>
    </w:p>
    <w:p>
      <w:pPr>
        <w:spacing w:line="480" w:before="0" w:after="240"/>
        <w:ind w:left="720" w:hanging="720"/>
        <w:jc w:val="left"/>
      </w:pPr>
      <w:r>
        <w:rPr>
          <w:rFonts w:ascii="Times New Roman" w:cs="Times New Roman" w:eastAsia="Times New Roman" w:hAnsi="Times New Roman"/>
          <w:sz w:val="24"/>
          <w:szCs w:val="24"/>
        </w:rPr>
        <w:t xml:space="preserve">Pascoe, C. J. (2007). Dude, you're a fag: Masculinity and sexuality in high school. University of California Press.</w:t>
      </w:r>
    </w:p>
    <w:p>
      <w:pPr>
        <w:spacing w:line="480" w:before="0" w:after="240"/>
        <w:ind w:left="720" w:hanging="720"/>
        <w:jc w:val="left"/>
      </w:pPr>
      <w:r>
        <w:rPr>
          <w:rFonts w:ascii="Times New Roman" w:cs="Times New Roman" w:eastAsia="Times New Roman" w:hAnsi="Times New Roman"/>
          <w:sz w:val="24"/>
          <w:szCs w:val="24"/>
        </w:rPr>
        <w:t xml:space="preserve">Poteat, V. P. (2007). Peer group socialization of homophobic attitudes and behavior during adolescence. Child Development, 78(6), 1830-1842.</w:t>
      </w:r>
    </w:p>
    <w:p>
      <w:pPr>
        <w:spacing w:line="480" w:before="0" w:after="240"/>
        <w:ind w:left="720" w:hanging="720"/>
        <w:jc w:val="left"/>
      </w:pPr>
      <w:r>
        <w:rPr>
          <w:rFonts w:ascii="Times New Roman" w:cs="Times New Roman" w:eastAsia="Times New Roman" w:hAnsi="Times New Roman"/>
          <w:sz w:val="24"/>
          <w:szCs w:val="24"/>
        </w:rPr>
        <w:t xml:space="preserve">Poteat, V. P., &amp; Vecho, O. (2016). Peers and homophobic attitudes in adolescence: Examining selection and influence processes in friendships and antipathies. Journal of Youth and Adolescence, 45(7), 1352-1366.</w:t>
      </w:r>
    </w:p>
    <w:p>
      <w:pPr>
        <w:spacing w:line="480" w:before="0" w:after="240"/>
        <w:ind w:left="720" w:hanging="720"/>
        <w:jc w:val="left"/>
      </w:pPr>
      <w:r>
        <w:rPr>
          <w:rFonts w:ascii="Times New Roman" w:cs="Times New Roman" w:eastAsia="Times New Roman" w:hAnsi="Times New Roman"/>
          <w:sz w:val="24"/>
          <w:szCs w:val="24"/>
        </w:rPr>
        <w:t xml:space="preserve">Puwar, N. (2004). Space invaders: Race, gender and bodies out of place. Berg.</w:t>
      </w:r>
    </w:p>
    <w:p>
      <w:pPr>
        <w:spacing w:line="480" w:before="0" w:after="240"/>
        <w:ind w:left="720" w:hanging="720"/>
        <w:jc w:val="left"/>
      </w:pPr>
      <w:r>
        <w:rPr>
          <w:rFonts w:ascii="Times New Roman" w:cs="Times New Roman" w:eastAsia="Times New Roman" w:hAnsi="Times New Roman"/>
          <w:sz w:val="24"/>
          <w:szCs w:val="24"/>
        </w:rPr>
        <w:t xml:space="preserve">Qin, A. (2023). Authoritarian audiences, rhetoric, and propaganda in international crises. International Studies Quarterly, 67(1), sqac089.</w:t>
      </w:r>
    </w:p>
    <w:p>
      <w:pPr>
        <w:spacing w:line="480" w:before="0" w:after="240"/>
        <w:ind w:left="720" w:hanging="720"/>
        <w:jc w:val="left"/>
      </w:pPr>
      <w:r>
        <w:rPr>
          <w:rFonts w:ascii="Times New Roman" w:cs="Times New Roman" w:eastAsia="Times New Roman" w:hAnsi="Times New Roman"/>
          <w:sz w:val="24"/>
          <w:szCs w:val="24"/>
        </w:rPr>
        <w:t xml:space="preserve">Riley, D. (2018). Authoritarian populism, neoliberalism, and The Eighteenth Brumaire of Louis Bonaparte. London Review of International Law, 6(3), 415-422.</w:t>
      </w:r>
    </w:p>
    <w:p>
      <w:pPr>
        <w:spacing w:line="480" w:before="0" w:after="240"/>
        <w:ind w:left="720" w:hanging="720"/>
        <w:jc w:val="left"/>
      </w:pPr>
      <w:r>
        <w:rPr>
          <w:rFonts w:ascii="Times New Roman" w:cs="Times New Roman" w:eastAsia="Times New Roman" w:hAnsi="Times New Roman"/>
          <w:sz w:val="24"/>
          <w:szCs w:val="24"/>
        </w:rPr>
        <w:t xml:space="preserve">Rivers, I., &amp; Duncan, N. (2013). Bullying: Experiences and discourses of sexuality and gender. Routledge.</w:t>
      </w:r>
    </w:p>
    <w:p>
      <w:pPr>
        <w:spacing w:line="480" w:before="0" w:after="240"/>
        <w:ind w:left="720" w:hanging="720"/>
        <w:jc w:val="left"/>
      </w:pPr>
      <w:r>
        <w:rPr>
          <w:rFonts w:ascii="Times New Roman" w:cs="Times New Roman" w:eastAsia="Times New Roman" w:hAnsi="Times New Roman"/>
          <w:sz w:val="24"/>
          <w:szCs w:val="24"/>
        </w:rPr>
        <w:t xml:space="preserve">Said, E. W. (1978). Orientalism. Pantheon Books.</w:t>
      </w:r>
    </w:p>
    <w:p>
      <w:pPr>
        <w:spacing w:line="480" w:before="0" w:after="240"/>
        <w:ind w:left="720" w:hanging="720"/>
        <w:jc w:val="left"/>
      </w:pPr>
      <w:r>
        <w:rPr>
          <w:rFonts w:ascii="Times New Roman" w:cs="Times New Roman" w:eastAsia="Times New Roman" w:hAnsi="Times New Roman"/>
          <w:sz w:val="24"/>
          <w:szCs w:val="24"/>
        </w:rPr>
        <w:t xml:space="preserve">Schmitt, C. (2007). The concept of the political (G. Schwab, Trans.). University of Chicago Press. (Original work published 1932)</w:t>
      </w:r>
    </w:p>
    <w:p>
      <w:pPr>
        <w:spacing w:line="480" w:before="0" w:after="240"/>
        <w:ind w:left="720" w:hanging="720"/>
        <w:jc w:val="left"/>
      </w:pPr>
      <w:r>
        <w:rPr>
          <w:rFonts w:ascii="Times New Roman" w:cs="Times New Roman" w:eastAsia="Times New Roman" w:hAnsi="Times New Roman"/>
          <w:sz w:val="24"/>
          <w:szCs w:val="24"/>
        </w:rPr>
        <w:t xml:space="preserve">Selwyn, B. (2015). The fascist new-old order. Journal of Global History, 10(3), 521-544.</w:t>
      </w:r>
    </w:p>
    <w:p>
      <w:pPr>
        <w:spacing w:line="480" w:before="0" w:after="240"/>
        <w:ind w:left="720" w:hanging="720"/>
        <w:jc w:val="left"/>
      </w:pPr>
      <w:r>
        <w:rPr>
          <w:rFonts w:ascii="Times New Roman" w:cs="Times New Roman" w:eastAsia="Times New Roman" w:hAnsi="Times New Roman"/>
          <w:sz w:val="24"/>
          <w:szCs w:val="24"/>
        </w:rPr>
        <w:t xml:space="preserve">Shih, S. (2011). Asian American librarians and library services: Activism, collaborations, and strategies. McFarland.</w:t>
      </w:r>
    </w:p>
    <w:p>
      <w:pPr>
        <w:spacing w:line="480" w:before="0" w:after="240"/>
        <w:ind w:left="720" w:hanging="720"/>
        <w:jc w:val="left"/>
      </w:pPr>
      <w:r>
        <w:rPr>
          <w:rFonts w:ascii="Times New Roman" w:cs="Times New Roman" w:eastAsia="Times New Roman" w:hAnsi="Times New Roman"/>
          <w:sz w:val="24"/>
          <w:szCs w:val="24"/>
        </w:rPr>
        <w:t xml:space="preserve">Smith, D. L. (2011). Less than human: Why we demean, enslave, and exterminate others. St. Martin's Press.</w:t>
      </w:r>
    </w:p>
    <w:p>
      <w:pPr>
        <w:spacing w:line="480" w:before="0" w:after="240"/>
        <w:ind w:left="720" w:hanging="720"/>
        <w:jc w:val="left"/>
      </w:pPr>
      <w:r>
        <w:rPr>
          <w:rFonts w:ascii="Times New Roman" w:cs="Times New Roman" w:eastAsia="Times New Roman" w:hAnsi="Times New Roman"/>
          <w:sz w:val="24"/>
          <w:szCs w:val="24"/>
        </w:rPr>
        <w:t xml:space="preserve">Steele, C. M. (2010). Whistling Vivaldi: How stereotypes affect us and what we can do. W. W. Norton &amp; Company.</w:t>
      </w:r>
    </w:p>
    <w:p>
      <w:pPr>
        <w:spacing w:line="480" w:before="0" w:after="240"/>
        <w:ind w:left="720" w:hanging="720"/>
        <w:jc w:val="left"/>
      </w:pPr>
      <w:r>
        <w:rPr>
          <w:rFonts w:ascii="Times New Roman" w:cs="Times New Roman" w:eastAsia="Times New Roman" w:hAnsi="Times New Roman"/>
          <w:sz w:val="24"/>
          <w:szCs w:val="24"/>
        </w:rPr>
        <w:t xml:space="preserve">Wang, Y., Chen, X., &amp; Zhang, L. (2024). The art of storytelling in authoritarian regimes: Crafting state narratives on Chinese social media. arXiv preprint arXiv:2512.11875.</w:t>
      </w:r>
    </w:p>
    <w:p>
      <w:pPr>
        <w:spacing w:line="480" w:before="0" w:after="240"/>
        <w:ind w:left="720" w:hanging="720"/>
        <w:jc w:val="left"/>
      </w:pPr>
      <w:r>
        <w:rPr>
          <w:rFonts w:ascii="Times New Roman" w:cs="Times New Roman" w:eastAsia="Times New Roman" w:hAnsi="Times New Roman"/>
          <w:sz w:val="24"/>
          <w:szCs w:val="24"/>
        </w:rPr>
        <w:t xml:space="preserve">Woolley, S. C., &amp; Howard, P. N. (2018). Computational propaganda: Political parties, politicians, and political manipulation on social media. Oxford University Press.</w:t>
      </w:r>
    </w:p>
    <w:p>
      <w:pPr>
        <w:spacing w:line="480" w:before="0" w:after="240"/>
        <w:ind w:left="720" w:hanging="720"/>
        <w:jc w:val="left"/>
      </w:pPr>
      <w:r>
        <w:rPr>
          <w:rFonts w:ascii="Times New Roman" w:cs="Times New Roman" w:eastAsia="Times New Roman" w:hAnsi="Times New Roman"/>
          <w:sz w:val="24"/>
          <w:szCs w:val="24"/>
        </w:rPr>
        <w:t xml:space="preserve">Wu, J. (2014). Yellow horde, forbidden city and fertile earth: How early 20th-century Western fiction imagined China through the kaleidoscope of exoticism, modernity, and imperialism. Cambridge Scholars Publishing.</w:t>
      </w:r>
    </w:p>
    <w:p>
      <w:pPr>
        <w:spacing w:line="480" w:before="0" w:after="240"/>
        <w:ind w:left="720" w:hanging="720"/>
        <w:jc w:val="left"/>
      </w:pPr>
      <w:r>
        <w:rPr>
          <w:rFonts w:ascii="Times New Roman" w:cs="Times New Roman" w:eastAsia="Times New Roman" w:hAnsi="Times New Roman"/>
          <w:sz w:val="24"/>
          <w:szCs w:val="24"/>
        </w:rPr>
        <w:t xml:space="preserve">Young, R. J. C. (2016). Postcolonialism: An historical introduction (Anniversary ed.). Wiley-Blackwell.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2026-02-01T09:42:06.167Z</dcterms:created>
  <dcterms:modified xsi:type="dcterms:W3CDTF">2026-02-01T09:42:06.168Z</dcterms:modified>
</cp:coreProperties>
</file>

<file path=docProps/custom.xml><?xml version="1.0" encoding="utf-8"?>
<Properties xmlns="http://schemas.openxmlformats.org/officeDocument/2006/custom-properties" xmlns:vt="http://schemas.openxmlformats.org/officeDocument/2006/docPropsVTypes"/>
</file>