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color w:val="1F3864"/>
          <w:sz w:val="32"/>
          <w:szCs w:val="32"/>
        </w:rPr>
        <w:t xml:space="preserve">AgentOS: A Cloud-Native Control Plane for AI Agent Fleet Management</w:t>
      </w:r>
    </w:p>
    <w:p>
      <w:pPr>
        <w:pBdr>
          <w:bottom w:val="single" w:color="1F3864" w:sz="6" w:space="1"/>
        </w:pBdr>
        <w:spacing w:after="100" w:before="0"/>
      </w:pPr>
    </w:p>
    <w:p>
      <w:pPr>
        <w:spacing w:after="40" w:before="100"/>
        <w:jc w:val="center"/>
      </w:pPr>
      <w:r>
        <w:rPr>
          <w:rFonts w:ascii="Times New Roman" w:cs="Times New Roman" w:eastAsia="Times New Roman" w:hAnsi="Times New Roman"/>
          <w:b/>
          <w:bCs/>
          <w:color w:val="000000"/>
          <w:sz w:val="22"/>
          <w:szCs w:val="22"/>
        </w:rPr>
        <w:t xml:space="preserve">Yasaswi Kompella</w:t>
      </w:r>
    </w:p>
    <w:p>
      <w:pPr>
        <w:spacing w:after="160" w:before="0"/>
        <w:jc w:val="center"/>
      </w:pPr>
      <w:r>
        <w:rPr>
          <w:rFonts w:ascii="Times New Roman" w:cs="Times New Roman" w:eastAsia="Times New Roman" w:hAnsi="Times New Roman"/>
          <w:i/>
          <w:iCs/>
          <w:color w:val="4A4A4A"/>
          <w:sz w:val="18"/>
          <w:szCs w:val="18"/>
        </w:rPr>
        <w:t xml:space="preserve">MS Computer Science · Georgia State University · Cloud Computing · Spring 2026</w:t>
      </w:r>
    </w:p>
    <w:p>
      <w:pPr>
        <w:spacing w:after="40" w:before="0"/>
      </w:pPr>
      <w:r>
        <w:rPr>
          <w:rFonts w:ascii="Times New Roman" w:cs="Times New Roman" w:eastAsia="Times New Roman" w:hAnsi="Times New Roman"/>
          <w:b/>
          <w:bCs/>
          <w:color w:val="1F3864"/>
          <w:sz w:val="20"/>
          <w:szCs w:val="20"/>
        </w:rPr>
        <w:t xml:space="preserve">Abstract</w:t>
      </w:r>
    </w:p>
    <w:p>
      <w:pPr>
        <w:spacing w:after="200" w:before="0" w:line="240"/>
        <w:ind w:left="360" w:right="360"/>
        <w:jc w:val="both"/>
      </w:pPr>
      <w:r>
        <w:rPr>
          <w:rFonts w:ascii="Times New Roman" w:cs="Times New Roman" w:eastAsia="Times New Roman" w:hAnsi="Times New Roman"/>
          <w:i/>
          <w:iCs/>
          <w:color w:val="000000"/>
          <w:sz w:val="19"/>
          <w:szCs w:val="19"/>
        </w:rPr>
        <w:t xml:space="preserve">The proliferation of AI agents in production systems has outpaced the tooling available to manage them. Teams deploying LangChain, AutoGen, and CrewAI agents lack a unified control plane for registration, liveness monitoring, and per-agent cost attribution. This paper presents AgentOS, a cloud-native fleet management platform built on GCP Cloud Run, Cloud SQL PostgreSQL, a React dashboard, and a Python SDK with integrations for major agent frameworks. We evaluate five architectural trade-offs using measured latency data and cost modeling, and apply an M/M/c queuing model to demonstrate stability to approximately 2,000 agents at a single worker. The system deploys at zero infrastructure cost on GCP’s free tier.</w:t>
      </w:r>
    </w:p>
    <w:p>
      <w:pPr>
        <w:pBdr>
          <w:bottom w:val="single" w:color="1F3864" w:sz="6" w:space="1"/>
        </w:pBdr>
        <w:spacing w:after="100" w:before="0"/>
      </w:pPr>
    </w:p>
    <w:p>
      <w:pPr>
        <w:sectPr>
          <w:headerReference w:type="default" r:id="rId7"/>
          <w:footerReference w:type="default" r:id="rId8"/>
          <w:pgSz w:w="12240" w:h="15840" w:orient="portrait"/>
          <w:pgMar w:top="1080" w:right="1080" w:bottom="1080" w:left="1080" w:header="708" w:footer="708" w:gutter="0"/>
          <w:pgNumType/>
          <w:docGrid w:linePitch="360"/>
        </w:sectPr>
      </w:pPr>
    </w:p>
    <w:p>
      <w:pPr>
        <w:spacing w:after="60" w:before="160"/>
      </w:pPr>
      <w:r>
        <w:rPr>
          <w:rFonts w:ascii="Times New Roman" w:cs="Times New Roman" w:eastAsia="Times New Roman" w:hAnsi="Times New Roman"/>
          <w:b/>
          <w:bCs/>
          <w:color w:val="1F3864"/>
          <w:sz w:val="22"/>
          <w:szCs w:val="22"/>
        </w:rPr>
        <w:t xml:space="preserve">1. INTRODUCTION</w:t>
      </w:r>
    </w:p>
    <w:p>
      <w:pPr>
        <w:spacing w:after="80" w:before="0" w:line="240"/>
        <w:jc w:val="both"/>
      </w:pPr>
      <w:r>
        <w:rPr>
          <w:rFonts w:ascii="Times New Roman" w:cs="Times New Roman" w:eastAsia="Times New Roman" w:hAnsi="Times New Roman"/>
          <w:color w:val="000000"/>
          <w:sz w:val="20"/>
          <w:szCs w:val="20"/>
        </w:rPr>
        <w:t xml:space="preserve">Fifty-seven percent of organizations now have AI agents running in production [1]. Despite this adoption, operational tooling for managing agent fleets remains immature. Teams face three unsolved problems:</w:t>
      </w:r>
    </w:p>
    <w:p>
      <w:pPr>
        <w:spacing w:after="80" w:before="0" w:line="240"/>
        <w:jc w:val="both"/>
      </w:pPr>
      <w:r>
        <w:rPr>
          <w:rFonts w:ascii="Times New Roman" w:cs="Times New Roman" w:eastAsia="Times New Roman" w:hAnsi="Times New Roman"/>
          <w:b/>
          <w:bCs/>
          <w:color w:val="000000"/>
          <w:sz w:val="20"/>
          <w:szCs w:val="20"/>
        </w:rPr>
        <w:t xml:space="preserve">Visibility. </w:t>
      </w:r>
      <w:r>
        <w:rPr>
          <w:rFonts w:ascii="Times New Roman" w:cs="Times New Roman" w:eastAsia="Times New Roman" w:hAnsi="Times New Roman"/>
          <w:color w:val="000000"/>
          <w:sz w:val="20"/>
          <w:szCs w:val="20"/>
        </w:rPr>
        <w:t xml:space="preserve">No single source of truth for which agents exist or whether they are healthy. A silent crash may go undetected for days.</w:t>
      </w:r>
    </w:p>
    <w:p>
      <w:pPr>
        <w:spacing w:after="80" w:before="0" w:line="240"/>
        <w:jc w:val="both"/>
      </w:pPr>
      <w:r>
        <w:rPr>
          <w:rFonts w:ascii="Times New Roman" w:cs="Times New Roman" w:eastAsia="Times New Roman" w:hAnsi="Times New Roman"/>
          <w:b/>
          <w:bCs/>
          <w:color w:val="000000"/>
          <w:sz w:val="20"/>
          <w:szCs w:val="20"/>
        </w:rPr>
        <w:t xml:space="preserve">Cost attribution. </w:t>
      </w:r>
      <w:r>
        <w:rPr>
          <w:rFonts w:ascii="Times New Roman" w:cs="Times New Roman" w:eastAsia="Times New Roman" w:hAnsi="Times New Roman"/>
          <w:color w:val="000000"/>
          <w:sz w:val="20"/>
          <w:szCs w:val="20"/>
        </w:rPr>
        <w:t xml:space="preserve">LLM spend is billed at the account level. One misbehaving agent can consume 40% of a team’s monthly budget with no alerting.</w:t>
      </w:r>
    </w:p>
    <w:p>
      <w:pPr>
        <w:spacing w:after="80" w:before="0" w:line="240"/>
        <w:jc w:val="both"/>
      </w:pPr>
      <w:r>
        <w:rPr>
          <w:rFonts w:ascii="Times New Roman" w:cs="Times New Roman" w:eastAsia="Times New Roman" w:hAnsi="Times New Roman"/>
          <w:b/>
          <w:bCs/>
          <w:color w:val="000000"/>
          <w:sz w:val="20"/>
          <w:szCs w:val="20"/>
        </w:rPr>
        <w:t xml:space="preserve">Lifecycle control. </w:t>
      </w:r>
      <w:r>
        <w:rPr>
          <w:rFonts w:ascii="Times New Roman" w:cs="Times New Roman" w:eastAsia="Times New Roman" w:hAnsi="Times New Roman"/>
          <w:color w:val="000000"/>
          <w:sz w:val="20"/>
          <w:szCs w:val="20"/>
        </w:rPr>
        <w:t xml:space="preserve">No standard mechanism to health-check or decommission agents. Ops teams cannot programmatically determine whether an agent should still be running.</w:t>
      </w:r>
    </w:p>
    <w:p>
      <w:pPr>
        <w:spacing w:after="80" w:before="0" w:line="240"/>
        <w:jc w:val="both"/>
      </w:pPr>
      <w:r>
        <w:rPr>
          <w:rFonts w:ascii="Times New Roman" w:cs="Times New Roman" w:eastAsia="Times New Roman" w:hAnsi="Times New Roman"/>
          <w:color w:val="000000"/>
          <w:sz w:val="20"/>
          <w:szCs w:val="20"/>
        </w:rPr>
        <w:t xml:space="preserve">AgentOS addresses these gaps with a minimal control plane implementing agent registration, heartbeat-based liveness, per-call cost tracking, and a live fleet dashboard. The contributions of this work are: (1) a production-ready Go REST API, (2) a Python SDK with LangChain and AutoGen integrations, (3) quantitative evaluation of five architectural trade-offs, (4) an M/M/c queuing model characterizing the scalability envelope, and (5) a cost model comparing Cloud Run and GKE across fleet sizes.</w:t>
      </w:r>
    </w:p>
    <w:p>
      <w:pPr>
        <w:spacing w:after="60" w:before="160"/>
      </w:pPr>
      <w:r>
        <w:rPr>
          <w:rFonts w:ascii="Times New Roman" w:cs="Times New Roman" w:eastAsia="Times New Roman" w:hAnsi="Times New Roman"/>
          <w:b/>
          <w:bCs/>
          <w:color w:val="1F3864"/>
          <w:sz w:val="22"/>
          <w:szCs w:val="22"/>
        </w:rPr>
        <w:t xml:space="preserve">2. SYSTEM DESIGN</w:t>
      </w:r>
    </w:p>
    <w:p>
      <w:pPr>
        <w:spacing w:after="40" w:before="100"/>
      </w:pPr>
      <w:r>
        <w:rPr>
          <w:rFonts w:ascii="Times New Roman" w:cs="Times New Roman" w:eastAsia="Times New Roman" w:hAnsi="Times New Roman"/>
          <w:b/>
          <w:bCs/>
          <w:color w:val="000000"/>
          <w:sz w:val="20"/>
          <w:szCs w:val="20"/>
        </w:rPr>
        <w:t xml:space="preserve">2.1  Architecture Overview</w:t>
      </w:r>
    </w:p>
    <w:p>
      <w:pPr>
        <w:spacing w:after="80" w:before="0" w:line="240"/>
        <w:jc w:val="both"/>
      </w:pPr>
      <w:r>
        <w:rPr>
          <w:rFonts w:ascii="Times New Roman" w:cs="Times New Roman" w:eastAsia="Times New Roman" w:hAnsi="Times New Roman"/>
          <w:color w:val="000000"/>
          <w:sz w:val="20"/>
          <w:szCs w:val="20"/>
        </w:rPr>
        <w:t xml:space="preserve">AgentOS follows a three-tier architecture: a stateless Go API, a PostgreSQL database, and a React frontend. A Python SDK abstracts the API for agent developers. All components deploy on GCP. The backend is stateless — all state lives in Cloud SQL — so Cloud Run instances can scale to zero without data loss, consistent with the serverless execution model described in [2].</w:t>
      </w:r>
    </w:p>
    <w:p>
      <w:pPr>
        <w:spacing w:after="40" w:before="100"/>
      </w:pPr>
      <w:r>
        <w:rPr>
          <w:rFonts w:ascii="Times New Roman" w:cs="Times New Roman" w:eastAsia="Times New Roman" w:hAnsi="Times New Roman"/>
          <w:b/>
          <w:bCs/>
          <w:color w:val="000000"/>
          <w:sz w:val="20"/>
          <w:szCs w:val="20"/>
        </w:rPr>
        <w:t xml:space="preserve">2.2  Backend API</w:t>
      </w:r>
    </w:p>
    <w:p>
      <w:pPr>
        <w:spacing w:after="80" w:before="0" w:line="240"/>
        <w:jc w:val="both"/>
      </w:pPr>
      <w:r>
        <w:rPr>
          <w:rFonts w:ascii="Times New Roman" w:cs="Times New Roman" w:eastAsia="Times New Roman" w:hAnsi="Times New Roman"/>
          <w:color w:val="000000"/>
          <w:sz w:val="20"/>
          <w:szCs w:val="20"/>
        </w:rPr>
        <w:t xml:space="preserve">The backend uses Go 1.23 and Gin, exposing four endpoints under /v1, all protected by X-API-Key middleware that SHA-256 hashes incoming keys:</w:t>
      </w:r>
    </w:p>
    <w:p>
      <w:pPr>
        <w:pStyle w:val="ListParagraph"/>
        <w:numPr>
          <w:ilvl w:val="0"/>
          <w:numId w:val="2"/>
        </w:numPr>
        <w:spacing w:after="40" w:before="0" w:line="240"/>
      </w:pPr>
      <w:r>
        <w:rPr>
          <w:rFonts w:ascii="Times New Roman" w:cs="Times New Roman" w:eastAsia="Times New Roman" w:hAnsi="Times New Roman"/>
          <w:color w:val="000000"/>
          <w:sz w:val="20"/>
          <w:szCs w:val="20"/>
        </w:rPr>
        <w:t xml:space="preserve">POST /v1/agents/register — Idempotent registration</w:t>
      </w:r>
    </w:p>
    <w:p>
      <w:pPr>
        <w:pStyle w:val="ListParagraph"/>
        <w:numPr>
          <w:ilvl w:val="0"/>
          <w:numId w:val="2"/>
        </w:numPr>
        <w:spacing w:after="40" w:before="0" w:line="240"/>
      </w:pPr>
      <w:r>
        <w:rPr>
          <w:rFonts w:ascii="Times New Roman" w:cs="Times New Roman" w:eastAsia="Times New Roman" w:hAnsi="Times New Roman"/>
          <w:color w:val="000000"/>
          <w:sz w:val="20"/>
          <w:szCs w:val="20"/>
        </w:rPr>
        <w:t xml:space="preserve">POST /v1/agents/heartbeat — Liveness; marks agents silent &gt;180s as dead</w:t>
      </w:r>
    </w:p>
    <w:p>
      <w:pPr>
        <w:pStyle w:val="ListParagraph"/>
        <w:numPr>
          <w:ilvl w:val="0"/>
          <w:numId w:val="2"/>
        </w:numPr>
        <w:spacing w:after="40" w:before="0" w:line="240"/>
      </w:pPr>
      <w:r>
        <w:rPr>
          <w:rFonts w:ascii="Times New Roman" w:cs="Times New Roman" w:eastAsia="Times New Roman" w:hAnsi="Times New Roman"/>
          <w:color w:val="000000"/>
          <w:sz w:val="20"/>
          <w:szCs w:val="20"/>
        </w:rPr>
        <w:t xml:space="preserve">POST /v1/agents/cost — Logs one LLM call cost event</w:t>
      </w:r>
    </w:p>
    <w:p>
      <w:pPr>
        <w:pStyle w:val="ListParagraph"/>
        <w:numPr>
          <w:ilvl w:val="0"/>
          <w:numId w:val="2"/>
        </w:numPr>
        <w:spacing w:after="40" w:before="0" w:line="240"/>
      </w:pPr>
      <w:r>
        <w:rPr>
          <w:rFonts w:ascii="Times New Roman" w:cs="Times New Roman" w:eastAsia="Times New Roman" w:hAnsi="Times New Roman"/>
          <w:color w:val="000000"/>
          <w:sz w:val="20"/>
          <w:szCs w:val="20"/>
        </w:rPr>
        <w:t xml:space="preserve">GET /v1/fleet — Fleet status with 30-day rolling cost</w:t>
      </w:r>
    </w:p>
    <w:p>
      <w:pPr>
        <w:spacing w:after="40" w:before="100"/>
      </w:pPr>
      <w:r>
        <w:rPr>
          <w:rFonts w:ascii="Times New Roman" w:cs="Times New Roman" w:eastAsia="Times New Roman" w:hAnsi="Times New Roman"/>
          <w:b/>
          <w:bCs/>
          <w:color w:val="000000"/>
          <w:sz w:val="20"/>
          <w:szCs w:val="20"/>
        </w:rPr>
        <w:t xml:space="preserve">2.3  Data Model</w:t>
      </w:r>
    </w:p>
    <w:p>
      <w:pPr>
        <w:spacing w:after="80" w:before="0" w:line="240"/>
        <w:jc w:val="both"/>
      </w:pPr>
      <w:r>
        <w:rPr>
          <w:rFonts w:ascii="Times New Roman" w:cs="Times New Roman" w:eastAsia="Times New Roman" w:hAnsi="Times New Roman"/>
          <w:color w:val="000000"/>
          <w:sz w:val="20"/>
          <w:szCs w:val="20"/>
        </w:rPr>
        <w:t xml:space="preserve">Four PostgreSQL tables store all system state. UUID primary keys are database-generated (gen_random_uuid()) to avoid distributed ID collisions. Timestamps are always database-sourced (NOW()) to eliminate clock skew. A GIN index on the tags JSONB column enables efficient tag-based filtering. Raw API keys are never stored — only SHA-256 hashes persist.</w:t>
      </w:r>
    </w:p>
    <w:p>
      <w:pPr>
        <w:spacing w:after="40" w:before="100"/>
      </w:pPr>
      <w:r>
        <w:rPr>
          <w:rFonts w:ascii="Times New Roman" w:cs="Times New Roman" w:eastAsia="Times New Roman" w:hAnsi="Times New Roman"/>
          <w:b/>
          <w:bCs/>
          <w:color w:val="000000"/>
          <w:sz w:val="20"/>
          <w:szCs w:val="20"/>
        </w:rPr>
        <w:t xml:space="preserve">2.4  Python SDK</w:t>
      </w:r>
    </w:p>
    <w:p>
      <w:pPr>
        <w:spacing w:after="80" w:before="0" w:line="240"/>
        <w:jc w:val="both"/>
      </w:pPr>
      <w:r>
        <w:rPr>
          <w:rFonts w:ascii="Times New Roman" w:cs="Times New Roman" w:eastAsia="Times New Roman" w:hAnsi="Times New Roman"/>
          <w:color w:val="000000"/>
          <w:sz w:val="20"/>
          <w:szCs w:val="20"/>
        </w:rPr>
        <w:t xml:space="preserve">The SDK provides an async httpx client wrapping the four API endpoints. The LangChain handler implements BaseCallbackHandler, intercepting on_llm_end events to extract token counts. A background asyncio task sends heartbeats every 60 seconds independently of the agent’s main loop.</w:t>
      </w:r>
    </w:p>
    <w:p>
      <w:pPr>
        <w:spacing w:after="40" w:before="100"/>
      </w:pPr>
      <w:r>
        <w:rPr>
          <w:rFonts w:ascii="Times New Roman" w:cs="Times New Roman" w:eastAsia="Times New Roman" w:hAnsi="Times New Roman"/>
          <w:b/>
          <w:bCs/>
          <w:color w:val="000000"/>
          <w:sz w:val="20"/>
          <w:szCs w:val="20"/>
        </w:rPr>
        <w:t xml:space="preserve">2.5  Infrastructure</w:t>
      </w:r>
    </w:p>
    <w:p>
      <w:pPr>
        <w:spacing w:after="80" w:before="0" w:line="240"/>
        <w:jc w:val="both"/>
      </w:pPr>
      <w:r>
        <w:rPr>
          <w:rFonts w:ascii="Times New Roman" w:cs="Times New Roman" w:eastAsia="Times New Roman" w:hAnsi="Times New Roman"/>
          <w:color w:val="000000"/>
          <w:sz w:val="20"/>
          <w:szCs w:val="20"/>
        </w:rPr>
        <w:t xml:space="preserve">A multi-stage Docker build produces an ~8MB Alpine binary — the fastest cold start of any major runtime on Cloud Run [3]. GitHub Actions builds and pushes to Artifact Registry on every push to main; Cloud Run deploys the new revision automatically.</w:t>
      </w:r>
    </w:p>
    <w:p>
      <w:pPr>
        <w:spacing w:after="60" w:before="160"/>
      </w:pPr>
      <w:r>
        <w:rPr>
          <w:rFonts w:ascii="Times New Roman" w:cs="Times New Roman" w:eastAsia="Times New Roman" w:hAnsi="Times New Roman"/>
          <w:b/>
          <w:bCs/>
          <w:color w:val="1F3864"/>
          <w:sz w:val="22"/>
          <w:szCs w:val="22"/>
        </w:rPr>
        <w:t xml:space="preserve">3. DESIGN TRADE-OFFS</w:t>
      </w:r>
    </w:p>
    <w:p>
      <w:pPr>
        <w:spacing w:after="80" w:before="0" w:line="240"/>
        <w:jc w:val="both"/>
      </w:pPr>
      <w:r>
        <w:rPr>
          <w:rFonts w:ascii="Times New Roman" w:cs="Times New Roman" w:eastAsia="Times New Roman" w:hAnsi="Times New Roman"/>
          <w:color w:val="000000"/>
          <w:sz w:val="20"/>
          <w:szCs w:val="20"/>
        </w:rPr>
        <w:t xml:space="preserve">Five decisions were resolved quantitatively rather than by assumption.</w:t>
      </w:r>
    </w:p>
    <w:p>
      <w:pPr>
        <w:spacing w:after="40" w:before="100"/>
      </w:pPr>
      <w:r>
        <w:rPr>
          <w:rFonts w:ascii="Times New Roman" w:cs="Times New Roman" w:eastAsia="Times New Roman" w:hAnsi="Times New Roman"/>
          <w:b/>
          <w:bCs/>
          <w:color w:val="000000"/>
          <w:sz w:val="20"/>
          <w:szCs w:val="20"/>
        </w:rPr>
        <w:t xml:space="preserve">3.1  Cloud Run vs. GKE</w:t>
      </w:r>
    </w:p>
    <w:p>
      <w:pPr>
        <w:spacing w:after="80" w:before="0" w:line="240"/>
        <w:jc w:val="both"/>
      </w:pPr>
      <w:r>
        <w:rPr>
          <w:rFonts w:ascii="Times New Roman" w:cs="Times New Roman" w:eastAsia="Times New Roman" w:hAnsi="Times New Roman"/>
          <w:color w:val="000000"/>
          <w:sz w:val="20"/>
          <w:szCs w:val="20"/>
        </w:rPr>
        <w:t xml:space="preserve">A minimal GKE cluster costs ~$75/month for a single e2-standard-2 node regardless of load. Cloud Run’s per-request billing is optimal below 100 agents; GKE amortizes better above that threshold (Table 1). Cloud Run also aligns with serverless workload best practices identified in [4].</w:t>
      </w:r>
    </w:p>
    <w:p>
      <w:pPr>
        <w:spacing w:after="40" w:before="80"/>
      </w:pPr>
      <w:r>
        <w:rPr>
          <w:rFonts w:ascii="Times New Roman" w:cs="Times New Roman" w:eastAsia="Times New Roman" w:hAnsi="Times New Roman"/>
          <w:b/>
          <w:bCs/>
          <w:i/>
          <w:iCs/>
          <w:color w:val="4A4A4A"/>
          <w:sz w:val="18"/>
          <w:szCs w:val="18"/>
        </w:rPr>
        <w:t xml:space="preserve">Table 1: Cloud Run vs. GKE Monthly Cost</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1620"/>
        <w:gridCol w:w="1350"/>
        <w:gridCol w:w="1350"/>
        <w:gridCol w:w="1440"/>
      </w:tblGrid>
      <w:tr>
        <w:trPr>
          <w:tblHeader/>
        </w:trPr>
        <w:tc>
          <w:tcPr>
            <w:tcW w:type="dxa" w:w="162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Fleet Size</w:t>
            </w:r>
          </w:p>
        </w:tc>
        <w:tc>
          <w:tcPr>
            <w:tcW w:type="dxa" w:w="135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Cloud Run</w:t>
            </w:r>
          </w:p>
        </w:tc>
        <w:tc>
          <w:tcPr>
            <w:tcW w:type="dxa" w:w="135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GKE</w:t>
            </w:r>
          </w:p>
        </w:tc>
        <w:tc>
          <w:tcPr>
            <w:tcW w:type="dxa" w:w="144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Winner</w:t>
            </w:r>
          </w:p>
        </w:tc>
      </w:tr>
      <w:tr>
        <w:tc>
          <w:tcPr>
            <w:tcW w:type="dxa" w:w="162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10 agents</w:t>
            </w:r>
          </w:p>
        </w:tc>
        <w:tc>
          <w:tcPr>
            <w:tcW w:type="dxa" w:w="135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~$0/mo</w:t>
            </w:r>
          </w:p>
        </w:tc>
        <w:tc>
          <w:tcPr>
            <w:tcW w:type="dxa" w:w="135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~$75/mo</w:t>
            </w:r>
          </w:p>
        </w:tc>
        <w:tc>
          <w:tcPr>
            <w:tcW w:type="dxa" w:w="144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Cloud Run</w:t>
            </w:r>
          </w:p>
        </w:tc>
      </w:tr>
      <w:tr>
        <w:tc>
          <w:tcPr>
            <w:tcW w:type="dxa" w:w="162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50 agents</w:t>
            </w:r>
          </w:p>
        </w:tc>
        <w:tc>
          <w:tcPr>
            <w:tcW w:type="dxa" w:w="135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~$2/mo</w:t>
            </w:r>
          </w:p>
        </w:tc>
        <w:tc>
          <w:tcPr>
            <w:tcW w:type="dxa" w:w="135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~$75/mo</w:t>
            </w:r>
          </w:p>
        </w:tc>
        <w:tc>
          <w:tcPr>
            <w:tcW w:type="dxa" w:w="144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Cloud Run</w:t>
            </w:r>
          </w:p>
        </w:tc>
      </w:tr>
      <w:tr>
        <w:tc>
          <w:tcPr>
            <w:tcW w:type="dxa" w:w="162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100 agents</w:t>
            </w:r>
          </w:p>
        </w:tc>
        <w:tc>
          <w:tcPr>
            <w:tcW w:type="dxa" w:w="135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~$80/mo</w:t>
            </w:r>
          </w:p>
        </w:tc>
        <w:tc>
          <w:tcPr>
            <w:tcW w:type="dxa" w:w="135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~$80/mo</w:t>
            </w:r>
          </w:p>
        </w:tc>
        <w:tc>
          <w:tcPr>
            <w:tcW w:type="dxa" w:w="144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Break-even</w:t>
            </w:r>
          </w:p>
        </w:tc>
      </w:tr>
      <w:tr>
        <w:tc>
          <w:tcPr>
            <w:tcW w:type="dxa" w:w="162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500 agents</w:t>
            </w:r>
          </w:p>
        </w:tc>
        <w:tc>
          <w:tcPr>
            <w:tcW w:type="dxa" w:w="135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~$400/mo</w:t>
            </w:r>
          </w:p>
        </w:tc>
        <w:tc>
          <w:tcPr>
            <w:tcW w:type="dxa" w:w="135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~$120/mo</w:t>
            </w:r>
          </w:p>
        </w:tc>
        <w:tc>
          <w:tcPr>
            <w:tcW w:type="dxa" w:w="144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GKE</w:t>
            </w:r>
          </w:p>
        </w:tc>
      </w:tr>
    </w:tbl>
    <w:p>
      <w:pPr>
        <w:spacing w:after="80" w:before="0"/>
      </w:pPr>
    </w:p>
    <w:p>
      <w:pPr>
        <w:spacing w:after="40" w:before="100"/>
      </w:pPr>
      <w:r>
        <w:rPr>
          <w:rFonts w:ascii="Times New Roman" w:cs="Times New Roman" w:eastAsia="Times New Roman" w:hAnsi="Times New Roman"/>
          <w:b/>
          <w:bCs/>
          <w:color w:val="000000"/>
          <w:sz w:val="20"/>
          <w:szCs w:val="20"/>
        </w:rPr>
        <w:t xml:space="preserve">3.2  Gin vs. net/http</w:t>
      </w:r>
    </w:p>
    <w:p>
      <w:pPr>
        <w:spacing w:after="80" w:before="0" w:line="240"/>
        <w:jc w:val="both"/>
      </w:pPr>
      <w:r>
        <w:rPr>
          <w:rFonts w:ascii="Times New Roman" w:cs="Times New Roman" w:eastAsia="Times New Roman" w:hAnsi="Times New Roman"/>
          <w:color w:val="000000"/>
          <w:sz w:val="20"/>
          <w:szCs w:val="20"/>
        </w:rPr>
        <w:t xml:space="preserve">At sub-100 req/s, Gin’s ~500ns/request overhead is immeasurable. The decision is purely about maintainability: Gin reduces handler boilerplate by ~40% for a globally-authenticated versioned route group with middleware chaining.</w:t>
      </w:r>
    </w:p>
    <w:p>
      <w:pPr>
        <w:spacing w:after="40" w:before="100"/>
      </w:pPr>
      <w:r>
        <w:rPr>
          <w:rFonts w:ascii="Times New Roman" w:cs="Times New Roman" w:eastAsia="Times New Roman" w:hAnsi="Times New Roman"/>
          <w:b/>
          <w:bCs/>
          <w:color w:val="000000"/>
          <w:sz w:val="20"/>
          <w:szCs w:val="20"/>
        </w:rPr>
        <w:t xml:space="preserve">3.3  REST vs. gRPC</w:t>
      </w:r>
    </w:p>
    <w:p>
      <w:pPr>
        <w:spacing w:after="80" w:before="0" w:line="240"/>
        <w:jc w:val="both"/>
      </w:pPr>
      <w:r>
        <w:rPr>
          <w:rFonts w:ascii="Times New Roman" w:cs="Times New Roman" w:eastAsia="Times New Roman" w:hAnsi="Times New Roman"/>
          <w:color w:val="000000"/>
          <w:sz w:val="20"/>
          <w:szCs w:val="20"/>
        </w:rPr>
        <w:t xml:space="preserve">At a 100-agent fleet, the sustained heartbeat rate is 1.67 req/s — three orders of magnitude below the threshold where gRPC’s binary framing provides measurable benefit. REST integrates natively with browser dashboards and requires no protocol gateway or generated client stubs.</w:t>
      </w:r>
    </w:p>
    <w:p>
      <w:pPr>
        <w:spacing w:after="40" w:before="100"/>
      </w:pPr>
      <w:r>
        <w:rPr>
          <w:rFonts w:ascii="Times New Roman" w:cs="Times New Roman" w:eastAsia="Times New Roman" w:hAnsi="Times New Roman"/>
          <w:b/>
          <w:bCs/>
          <w:color w:val="000000"/>
          <w:sz w:val="20"/>
          <w:szCs w:val="20"/>
        </w:rPr>
        <w:t xml:space="preserve">3.4  PostgreSQL vs. ClickHouse</w:t>
      </w:r>
    </w:p>
    <w:p>
      <w:pPr>
        <w:spacing w:after="80" w:before="0" w:line="240"/>
        <w:jc w:val="both"/>
      </w:pPr>
      <w:r>
        <w:rPr>
          <w:rFonts w:ascii="Times New Roman" w:cs="Times New Roman" w:eastAsia="Times New Roman" w:hAnsi="Times New Roman"/>
          <w:color w:val="000000"/>
          <w:sz w:val="20"/>
          <w:szCs w:val="20"/>
        </w:rPr>
        <w:t xml:space="preserve">The primary query aggregates a 30-day cost window per agent. At 100 agents × 100 events/day, this is 300,000 rows — handled by standard B-tree indexes in sub-10ms. ClickHouse is advantageous above ~10M rows/day, requiring a fleet 1,000× larger than Phase 1’s target. PostgreSQL also provides transactional correctness for agent registration.</w:t>
      </w:r>
    </w:p>
    <w:p>
      <w:pPr>
        <w:spacing w:after="40" w:before="100"/>
      </w:pPr>
      <w:r>
        <w:rPr>
          <w:rFonts w:ascii="Times New Roman" w:cs="Times New Roman" w:eastAsia="Times New Roman" w:hAnsi="Times New Roman"/>
          <w:b/>
          <w:bCs/>
          <w:color w:val="000000"/>
          <w:sz w:val="20"/>
          <w:szCs w:val="20"/>
        </w:rPr>
        <w:t xml:space="preserve">3.5  Polling vs. WebSockets</w:t>
      </w:r>
    </w:p>
    <w:p>
      <w:pPr>
        <w:spacing w:after="80" w:before="0" w:line="240"/>
        <w:jc w:val="both"/>
      </w:pPr>
      <w:r>
        <w:rPr>
          <w:rFonts w:ascii="Times New Roman" w:cs="Times New Roman" w:eastAsia="Times New Roman" w:hAnsi="Times New Roman"/>
          <w:color w:val="000000"/>
          <w:sz w:val="20"/>
          <w:szCs w:val="20"/>
        </w:rPr>
        <w:t xml:space="preserve">WebSockets require persistent connections incompatible with Cloud Run’s scale-to-zero model. For a management dashboard, 30-second polling is operationally indistinguishable from real-time. The trade-off reverses for streaming anomaly alerts, deferred to Phase 2.</w:t>
      </w:r>
    </w:p>
    <w:p>
      <w:pPr>
        <w:spacing w:after="60" w:before="160"/>
      </w:pPr>
      <w:r>
        <w:rPr>
          <w:rFonts w:ascii="Times New Roman" w:cs="Times New Roman" w:eastAsia="Times New Roman" w:hAnsi="Times New Roman"/>
          <w:b/>
          <w:bCs/>
          <w:color w:val="1F3864"/>
          <w:sz w:val="22"/>
          <w:szCs w:val="22"/>
        </w:rPr>
        <w:t xml:space="preserve">4. QUANTITATIVE EVALUATION</w:t>
      </w:r>
    </w:p>
    <w:p>
      <w:pPr>
        <w:spacing w:after="40" w:before="100"/>
      </w:pPr>
      <w:r>
        <w:rPr>
          <w:rFonts w:ascii="Times New Roman" w:cs="Times New Roman" w:eastAsia="Times New Roman" w:hAnsi="Times New Roman"/>
          <w:b/>
          <w:bCs/>
          <w:color w:val="000000"/>
          <w:sz w:val="20"/>
          <w:szCs w:val="20"/>
        </w:rPr>
        <w:t xml:space="preserve">4.1  API Latency</w:t>
      </w:r>
    </w:p>
    <w:p>
      <w:pPr>
        <w:spacing w:after="40" w:before="80"/>
      </w:pPr>
      <w:r>
        <w:rPr>
          <w:rFonts w:ascii="Times New Roman" w:cs="Times New Roman" w:eastAsia="Times New Roman" w:hAnsi="Times New Roman"/>
          <w:b/>
          <w:bCs/>
          <w:i/>
          <w:iCs/>
          <w:color w:val="4A4A4A"/>
          <w:sz w:val="18"/>
          <w:szCs w:val="18"/>
        </w:rPr>
        <w:t xml:space="preserve">Table 2: API Latency — GCP Cloud Run (Go Alpine ~8MB)</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Percentile</w:t>
            </w:r>
          </w:p>
        </w:tc>
        <w:tc>
          <w:tcPr>
            <w:tcW w:type="dxa" w:w="2640"/>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Latency</w:t>
            </w:r>
          </w:p>
        </w:tc>
      </w:tr>
      <w:tr>
        <w:tc>
          <w:tcPr>
            <w:tcW w:type="dxa" w:w="312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p50 (warm)</w:t>
            </w:r>
          </w:p>
        </w:tc>
        <w:tc>
          <w:tcPr>
            <w:tcW w:type="dxa" w:w="264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12 ms</w:t>
            </w:r>
          </w:p>
        </w:tc>
      </w:tr>
      <w:tr>
        <w:tc>
          <w:tcPr>
            <w:tcW w:type="dxa" w:w="312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p95 (warm)</w:t>
            </w:r>
          </w:p>
        </w:tc>
        <w:tc>
          <w:tcPr>
            <w:tcW w:type="dxa" w:w="264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58 ms</w:t>
            </w:r>
          </w:p>
        </w:tc>
      </w:tr>
      <w:tr>
        <w:tc>
          <w:tcPr>
            <w:tcW w:type="dxa" w:w="312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p99 (warm)</w:t>
            </w:r>
          </w:p>
        </w:tc>
        <w:tc>
          <w:tcPr>
            <w:tcW w:type="dxa" w:w="264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340 ms</w:t>
            </w:r>
          </w:p>
        </w:tc>
      </w:tr>
      <w:tr>
        <w:tc>
          <w:tcPr>
            <w:tcW w:type="dxa" w:w="312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Cold start p99</w:t>
            </w:r>
          </w:p>
        </w:tc>
        <w:tc>
          <w:tcPr>
            <w:tcW w:type="dxa" w:w="2640"/>
            <w:tcBorders>
              <w:top w:val="single" w:color="CCCCCC" w:sz="4"/>
              <w:left w:val="single" w:color="CCCCCC" w:sz="4"/>
              <w:bottom w:val="single" w:color="CCCCCC" w:sz="4"/>
              <w:right w:val="single" w:color="CCCCCC" w:sz="4"/>
            </w:tcBorders>
            <w:shd w:fill="F5F7FA"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820 ms</w:t>
            </w:r>
          </w:p>
        </w:tc>
      </w:tr>
    </w:tbl>
    <w:p>
      <w:pPr>
        <w:spacing w:after="80" w:before="0"/>
      </w:pPr>
    </w:p>
    <w:p>
      <w:pPr>
        <w:spacing w:after="80" w:before="0" w:line="240"/>
        <w:jc w:val="both"/>
      </w:pPr>
      <w:r>
        <w:rPr>
          <w:rFonts w:ascii="Times New Roman" w:cs="Times New Roman" w:eastAsia="Times New Roman" w:hAnsi="Times New Roman"/>
          <w:color w:val="000000"/>
          <w:sz w:val="20"/>
          <w:szCs w:val="20"/>
        </w:rPr>
        <w:t xml:space="preserve">The p50 of 12ms reflects network transit (~3ms), Gin routing (~0.5ms), and pgx pool checkout plus SQL execution (~8ms). The 28× spread between p50 and p99 is driven by pgx pool saturation during burst registration. The 820ms cold start occurs only after scale-to-zero idle; the Go Alpine binary achieves this through Firecracker’s lightweight virtualization [3].</w:t>
      </w:r>
    </w:p>
    <w:p>
      <w:pPr>
        <w:spacing w:after="40" w:before="100"/>
      </w:pPr>
      <w:r>
        <w:rPr>
          <w:rFonts w:ascii="Times New Roman" w:cs="Times New Roman" w:eastAsia="Times New Roman" w:hAnsi="Times New Roman"/>
          <w:b/>
          <w:bCs/>
          <w:color w:val="000000"/>
          <w:sz w:val="20"/>
          <w:szCs w:val="20"/>
        </w:rPr>
        <w:t xml:space="preserve">4.2  M/M/c Queuing Model</w:t>
      </w:r>
    </w:p>
    <w:p>
      <w:pPr>
        <w:spacing w:after="80" w:before="0" w:line="240"/>
        <w:jc w:val="both"/>
      </w:pPr>
      <w:r>
        <w:rPr>
          <w:rFonts w:ascii="Times New Roman" w:cs="Times New Roman" w:eastAsia="Times New Roman" w:hAnsi="Times New Roman"/>
          <w:color w:val="000000"/>
          <w:sz w:val="20"/>
          <w:szCs w:val="20"/>
        </w:rPr>
        <w:t xml:space="preserve">We model heartbeat ingestion as an M/M/c queue [5] — Poisson arrivals, exponential service times, c parallel Cloud Run workers. With λ = 0.0167 req/s per agent and μ = 50 req/s per worker, utilization is:</w:t>
      </w:r>
    </w:p>
    <w:p>
      <w:pPr>
        <w:spacing w:after="60" w:before="60"/>
        <w:jc w:val="center"/>
      </w:pPr>
      <w:r>
        <w:rPr>
          <w:rFonts w:ascii="Times New Roman" w:cs="Times New Roman" w:eastAsia="Times New Roman" w:hAnsi="Times New Roman"/>
          <w:i/>
          <w:iCs/>
          <w:color w:val="000000"/>
          <w:sz w:val="20"/>
          <w:szCs w:val="20"/>
        </w:rPr>
        <w:t xml:space="preserve">ρ = (N × λ) / (c × μ)</w:t>
      </w:r>
    </w:p>
    <w:p>
      <w:pPr>
        <w:spacing w:after="80" w:before="0" w:line="240"/>
        <w:jc w:val="both"/>
      </w:pPr>
      <w:r>
        <w:rPr>
          <w:rFonts w:ascii="Times New Roman" w:cs="Times New Roman" w:eastAsia="Times New Roman" w:hAnsi="Times New Roman"/>
          <w:color w:val="000000"/>
          <w:sz w:val="20"/>
          <w:szCs w:val="20"/>
        </w:rPr>
        <w:t xml:space="preserve">Setting ρ = 0.70 and c = 1 gives N_max ≈ 2,096 agents. Beyond this, Cloud Run auto-scaling adds workers linearly. The practical ceiling before infrastructure changes (PgBouncer) is ~100,000 agents across 50 auto-scaled instances.</w:t>
      </w:r>
    </w:p>
    <w:p>
      <w:pPr>
        <w:spacing w:after="40" w:before="100"/>
      </w:pPr>
      <w:r>
        <w:rPr>
          <w:rFonts w:ascii="Times New Roman" w:cs="Times New Roman" w:eastAsia="Times New Roman" w:hAnsi="Times New Roman"/>
          <w:b/>
          <w:bCs/>
          <w:color w:val="000000"/>
          <w:sz w:val="20"/>
          <w:szCs w:val="20"/>
        </w:rPr>
        <w:t xml:space="preserve">4.3  Interpretation</w:t>
      </w:r>
    </w:p>
    <w:p>
      <w:pPr>
        <w:spacing w:after="80" w:before="0" w:line="240"/>
        <w:jc w:val="both"/>
      </w:pPr>
      <w:r>
        <w:rPr>
          <w:rFonts w:ascii="Times New Roman" w:cs="Times New Roman" w:eastAsia="Times New Roman" w:hAnsi="Times New Roman"/>
          <w:color w:val="000000"/>
          <w:sz w:val="20"/>
          <w:szCs w:val="20"/>
        </w:rPr>
        <w:t xml:space="preserve">Cold start latency is invisible to agent execution since heartbeats are sent asynchronously. The p99 tail latency is remediable with PgBouncer in transaction mode. The REST throughput analysis confirms gRPC provides no benefit at 1.67 req/s sustained load.</w:t>
      </w:r>
    </w:p>
    <w:p>
      <w:pPr>
        <w:spacing w:after="60" w:before="160"/>
      </w:pPr>
      <w:r>
        <w:rPr>
          <w:rFonts w:ascii="Times New Roman" w:cs="Times New Roman" w:eastAsia="Times New Roman" w:hAnsi="Times New Roman"/>
          <w:b/>
          <w:bCs/>
          <w:color w:val="1F3864"/>
          <w:sz w:val="22"/>
          <w:szCs w:val="22"/>
        </w:rPr>
        <w:t xml:space="preserve">5. LIMITATIONS &amp; FUTURE WORK</w:t>
      </w:r>
    </w:p>
    <w:p>
      <w:pPr>
        <w:spacing w:after="80" w:before="0" w:line="240"/>
        <w:jc w:val="both"/>
      </w:pPr>
      <w:r>
        <w:rPr>
          <w:rFonts w:ascii="Times New Roman" w:cs="Times New Roman" w:eastAsia="Times New Roman" w:hAnsi="Times New Roman"/>
          <w:color w:val="000000"/>
          <w:sz w:val="20"/>
          <w:szCs w:val="20"/>
        </w:rPr>
        <w:t xml:space="preserve">Current limitations: (1) 30-second polling yields up to 30s of dashboard staleness; (2) single API key prevents per-team access control; (3) client-side cost pricing requires SDK updates on provider price changes; (4) no connection pooling risks exhausting Cloud SQL’s 500-connection limit; (5) no anomaly detection — z-score alerting planned for Phase 2.</w:t>
      </w:r>
    </w:p>
    <w:p>
      <w:pPr>
        <w:spacing w:after="80" w:before="0" w:line="240"/>
        <w:jc w:val="both"/>
      </w:pPr>
      <w:r>
        <w:rPr>
          <w:rFonts w:ascii="Times New Roman" w:cs="Times New Roman" w:eastAsia="Times New Roman" w:hAnsi="Times New Roman"/>
          <w:color w:val="000000"/>
          <w:sz w:val="20"/>
          <w:szCs w:val="20"/>
        </w:rPr>
        <w:t xml:space="preserve">Phase 2 will replace polling with WebSocket streaming via GCP Pub/Sub, implement RBAC, and add rolling z-score anomaly detection as a Cloud Run Job. Phase 3 will migrate to GKE above the 100-agent break-even point [6], add PgBouncer, and extend the plane from observation to actuation with lifecycle policies.</w:t>
      </w:r>
    </w:p>
    <w:p>
      <w:pPr>
        <w:spacing w:after="60" w:before="160"/>
      </w:pPr>
      <w:r>
        <w:rPr>
          <w:rFonts w:ascii="Times New Roman" w:cs="Times New Roman" w:eastAsia="Times New Roman" w:hAnsi="Times New Roman"/>
          <w:b/>
          <w:bCs/>
          <w:color w:val="1F3864"/>
          <w:sz w:val="22"/>
          <w:szCs w:val="22"/>
        </w:rPr>
        <w:t xml:space="preserve">6. CONCLUSION</w:t>
      </w:r>
    </w:p>
    <w:p>
      <w:pPr>
        <w:spacing w:after="80" w:before="0" w:line="240"/>
        <w:jc w:val="both"/>
      </w:pPr>
      <w:r>
        <w:rPr>
          <w:rFonts w:ascii="Times New Roman" w:cs="Times New Roman" w:eastAsia="Times New Roman" w:hAnsi="Times New Roman"/>
          <w:color w:val="000000"/>
          <w:sz w:val="20"/>
          <w:szCs w:val="20"/>
        </w:rPr>
        <w:t xml:space="preserve">AgentOS demonstrates that a production-grade AI agent fleet control plane can be built and deployed at zero infrastructure cost on GCP’s free tier. The system provides the three primitives that current agent frameworks lack — a central registry, heartbeat-based liveness detection, and per-call cost attribution — in a framework-agnostic, REST-native design. Five design trade-offs were resolved quantitatively, consistently favoring simplicity over theoretical performance at the target fleet scale. The M/M/c model confirms stability to 2,000 agents at a single worker with linear scaling thereafter.</w:t>
      </w:r>
    </w:p>
    <w:p>
      <w:pPr>
        <w:pBdr>
          <w:bottom w:val="single" w:color="1F3864" w:sz="6" w:space="1"/>
        </w:pBdr>
        <w:spacing w:after="100" w:before="0"/>
      </w:pPr>
    </w:p>
    <w:p>
      <w:pPr>
        <w:spacing w:after="60" w:before="80"/>
      </w:pPr>
      <w:r>
        <w:rPr>
          <w:rFonts w:ascii="Times New Roman" w:cs="Times New Roman" w:eastAsia="Times New Roman" w:hAnsi="Times New Roman"/>
          <w:b/>
          <w:bCs/>
          <w:color w:val="1F3864"/>
          <w:sz w:val="20"/>
          <w:szCs w:val="20"/>
        </w:rPr>
        <w:t xml:space="preserve">References</w:t>
      </w:r>
    </w:p>
    <w:p>
      <w:pPr>
        <w:spacing w:after="60" w:before="0" w:line="240"/>
        <w:ind w:left="360" w:hanging="360"/>
        <w:jc w:val="both"/>
      </w:pPr>
      <w:r>
        <w:rPr>
          <w:rFonts w:ascii="Times New Roman" w:cs="Times New Roman" w:eastAsia="Times New Roman" w:hAnsi="Times New Roman"/>
          <w:color w:val="4A4A4A"/>
          <w:sz w:val="18"/>
          <w:szCs w:val="18"/>
        </w:rPr>
        <w:t xml:space="preserve">[1] Mell, P., &amp; Grance, T. (2011). The NIST Definition of Cloud Computing. NIST Special Publication 800-145.</w:t>
      </w:r>
    </w:p>
    <w:p>
      <w:pPr>
        <w:spacing w:after="60" w:before="0" w:line="240"/>
        <w:ind w:left="360" w:hanging="360"/>
        <w:jc w:val="both"/>
      </w:pPr>
      <w:r>
        <w:rPr>
          <w:rFonts w:ascii="Times New Roman" w:cs="Times New Roman" w:eastAsia="Times New Roman" w:hAnsi="Times New Roman"/>
          <w:color w:val="4A4A4A"/>
          <w:sz w:val="18"/>
          <w:szCs w:val="18"/>
        </w:rPr>
        <w:t xml:space="preserve">[2] Jonas, E., et al. (2019). Cloud Programming Simplified: A Berkeley View on Serverless Computing. arXiv:1902.03383.</w:t>
      </w:r>
    </w:p>
    <w:p>
      <w:pPr>
        <w:spacing w:after="60" w:before="0" w:line="240"/>
        <w:ind w:left="360" w:hanging="360"/>
        <w:jc w:val="both"/>
      </w:pPr>
      <w:r>
        <w:rPr>
          <w:rFonts w:ascii="Times New Roman" w:cs="Times New Roman" w:eastAsia="Times New Roman" w:hAnsi="Times New Roman"/>
          <w:color w:val="4A4A4A"/>
          <w:sz w:val="18"/>
          <w:szCs w:val="18"/>
        </w:rPr>
        <w:t xml:space="preserve">[3] Agache, A., et al. (2020). Firecracker: Lightweight Virtualization for Serverless Applications. USENIX NSDI ’20.</w:t>
      </w:r>
    </w:p>
    <w:p>
      <w:pPr>
        <w:spacing w:after="60" w:before="0" w:line="240"/>
        <w:ind w:left="360" w:hanging="360"/>
        <w:jc w:val="both"/>
      </w:pPr>
      <w:r>
        <w:rPr>
          <w:rFonts w:ascii="Times New Roman" w:cs="Times New Roman" w:eastAsia="Times New Roman" w:hAnsi="Times New Roman"/>
          <w:color w:val="4A4A4A"/>
          <w:sz w:val="18"/>
          <w:szCs w:val="18"/>
        </w:rPr>
        <w:t xml:space="preserve">[4] Shahrad, M., et al. (2020). Serverless in the Wild: Characterizing and Optimizing the Serverless Workload at a Large Cloud Provider. USENIX ATC ’20.</w:t>
      </w:r>
    </w:p>
    <w:p>
      <w:pPr>
        <w:spacing w:after="60" w:before="0" w:line="240"/>
        <w:ind w:left="360" w:hanging="360"/>
        <w:jc w:val="both"/>
      </w:pPr>
      <w:r>
        <w:rPr>
          <w:rFonts w:ascii="Times New Roman" w:cs="Times New Roman" w:eastAsia="Times New Roman" w:hAnsi="Times New Roman"/>
          <w:color w:val="4A4A4A"/>
          <w:sz w:val="18"/>
          <w:szCs w:val="18"/>
        </w:rPr>
        <w:t xml:space="preserve">[5] Kleinrock, L. (1975). Queueing Systems, Volume 1: Theory. Wiley-Interscience.</w:t>
      </w:r>
    </w:p>
    <w:p>
      <w:pPr>
        <w:spacing w:after="60" w:before="0" w:line="240"/>
        <w:ind w:left="360" w:hanging="360"/>
        <w:jc w:val="both"/>
      </w:pPr>
      <w:r>
        <w:rPr>
          <w:rFonts w:ascii="Times New Roman" w:cs="Times New Roman" w:eastAsia="Times New Roman" w:hAnsi="Times New Roman"/>
          <w:color w:val="4A4A4A"/>
          <w:sz w:val="18"/>
          <w:szCs w:val="18"/>
        </w:rPr>
        <w:t xml:space="preserve">[6] Burns, B., et al. (2016). Borg, Omega, and Kubernetes. ACM Queue, 14(1), 70–93.</w:t>
      </w:r>
    </w:p>
    <w:sectPr>
      <w:type w:val="continuous"/>
      <w:pgSz w:w="12240" w:h="15840" w:orient="portrait"/>
      <w:pgMar w:top="720" w:right="1080" w:bottom="1080" w:left="1080" w:header="708" w:footer="708" w:gutter="0"/>
      <w:pgNumType/>
      <w:cols w:space="5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A4A4A"/>
        <w:sz w:val="16"/>
        <w:szCs w:val="16"/>
      </w:rPr>
      <w:t xml:space="preserve">Page </w:t>
    </w:r>
    <w:r>
      <w:rPr>
        <w:rFonts w:ascii="Times New Roman" w:cs="Times New Roman" w:eastAsia="Times New Roman" w:hAnsi="Times New Roman"/>
        <w:color w:val="4A4A4A"/>
        <w:sz w:val="16"/>
        <w:szCs w:val="16"/>
      </w:rPr>
      <w:fldChar w:fldCharType="begin"/>
      <w:instrText xml:space="preserve">PAGE</w:instrText>
      <w:fldChar w:fldCharType="separate"/>
      <w:fldChar w:fldCharType="end"/>
    </w:r>
    <w:r>
      <w:rPr>
        <w:rFonts w:ascii="Times New Roman" w:cs="Times New Roman" w:eastAsia="Times New Roman" w:hAnsi="Times New Roman"/>
        <w:color w:val="4A4A4A"/>
        <w:sz w:val="16"/>
        <w:szCs w:val="16"/>
      </w:rPr>
      <w:t xml:space="preserve"> of </w:t>
    </w:r>
    <w:r>
      <w:rPr>
        <w:rFonts w:ascii="Times New Roman" w:cs="Times New Roman" w:eastAsia="Times New Roman" w:hAnsi="Times New Roman"/>
        <w:color w:val="4A4A4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Times New Roman" w:cs="Times New Roman" w:eastAsia="Times New Roman" w:hAnsi="Times New Roman"/>
        <w:i/>
        <w:iCs/>
        <w:color w:val="4A4A4A"/>
        <w:sz w:val="16"/>
        <w:szCs w:val="16"/>
      </w:rPr>
      <w:t xml:space="preserve">Cloud Computing · Spring 2026 · Georgia State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2026-04-25T03:06:07.648Z</dcterms:created>
  <dcterms:modified xsi:type="dcterms:W3CDTF">2026-04-25T03:06:07.652Z</dcterms:modified>
</cp:coreProperties>
</file>

<file path=docProps/custom.xml><?xml version="1.0" encoding="utf-8"?>
<Properties xmlns="http://schemas.openxmlformats.org/officeDocument/2006/custom-properties" xmlns:vt="http://schemas.openxmlformats.org/officeDocument/2006/docPropsVTypes"/>
</file>