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112B4" w14:textId="77777777" w:rsidR="00440BF1" w:rsidRDefault="00440BF1" w:rsidP="00440BF1">
      <w:r w:rsidRPr="003A798E">
        <w:rPr>
          <w:noProof/>
          <w:lang w:val="en-AU" w:eastAsia="en-AU"/>
        </w:rPr>
        <mc:AlternateContent>
          <mc:Choice Requires="wpg">
            <w:drawing>
              <wp:anchor distT="0" distB="0" distL="114300" distR="114300" simplePos="0" relativeHeight="251659264" behindDoc="1" locked="1" layoutInCell="1" allowOverlap="1" wp14:anchorId="5335B6A6" wp14:editId="4EACEDA6">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13691920" id="Group 1" o:spid="_x0000_s1026" alt="Decorative" style="position:absolute;margin-left:-36pt;margin-top:-36pt;width:612pt;height:11in;z-index:-251657216;mso-position-horizontal-relative:margin;mso-width-relative:margin;mso-height-relative:margin" coordsize="77711,1005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">
                <v:shape id="Shape" o:spid="_x0000_s1027" style="position:absolute;top:25527;width:58458;height:75006;visibility:visible;mso-wrap-style:square;v-text-anchor:middle"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&#13;&#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&#13;&#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&#13;&#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tbl>
      <w:tblPr>
        <w:tblW w:w="0" w:type="auto"/>
        <w:tblLayout w:type="fixed"/>
        <w:tblLook w:val="0600" w:firstRow="0" w:lastRow="0" w:firstColumn="0" w:lastColumn="0" w:noHBand="1" w:noVBand="1"/>
      </w:tblPr>
      <w:tblGrid>
        <w:gridCol w:w="5395"/>
        <w:gridCol w:w="5395"/>
      </w:tblGrid>
      <w:tr w:rsidR="00440BF1" w:rsidRPr="003A798E" w14:paraId="7D875646" w14:textId="77777777" w:rsidTr="00A9693E">
        <w:tc>
          <w:tcPr>
            <w:tcW w:w="5395" w:type="dxa"/>
          </w:tcPr>
          <w:p w14:paraId="08F73FB6" w14:textId="77777777" w:rsidR="00440BF1" w:rsidRPr="003A798E" w:rsidRDefault="00440BF1" w:rsidP="00A9693E">
            <w:pPr>
              <w:pStyle w:val="GraphicAnchor"/>
            </w:pPr>
          </w:p>
        </w:tc>
        <w:tc>
          <w:tcPr>
            <w:tcW w:w="5395" w:type="dxa"/>
          </w:tcPr>
          <w:p w14:paraId="1053E510" w14:textId="77777777" w:rsidR="00440BF1" w:rsidRPr="003A798E" w:rsidRDefault="00440BF1" w:rsidP="00A9693E">
            <w:pPr>
              <w:pStyle w:val="GraphicAnchor"/>
            </w:pPr>
          </w:p>
        </w:tc>
      </w:tr>
      <w:tr w:rsidR="00440BF1" w:rsidRPr="003A798E" w14:paraId="3E8B9F7D" w14:textId="77777777" w:rsidTr="00A9693E">
        <w:trPr>
          <w:trHeight w:val="2719"/>
        </w:trPr>
        <w:tc>
          <w:tcPr>
            <w:tcW w:w="5395" w:type="dxa"/>
          </w:tcPr>
          <w:p w14:paraId="4C05B5DD" w14:textId="77777777" w:rsidR="00440BF1" w:rsidRPr="00C06AC9" w:rsidRDefault="00440BF1" w:rsidP="00A9693E">
            <w:pPr>
              <w:pStyle w:val="Heading1"/>
              <w:rPr>
                <w:sz w:val="40"/>
                <w:szCs w:val="40"/>
              </w:rPr>
            </w:pPr>
            <w:r w:rsidRPr="00C06AC9">
              <w:rPr>
                <w:sz w:val="40"/>
                <w:szCs w:val="40"/>
              </w:rPr>
              <w:t>Advanced</w:t>
            </w:r>
            <w:r>
              <w:rPr>
                <w:sz w:val="40"/>
                <w:szCs w:val="40"/>
              </w:rPr>
              <w:t xml:space="preserve"> Application</w:t>
            </w:r>
            <w:r>
              <w:rPr>
                <w:sz w:val="40"/>
                <w:szCs w:val="40"/>
              </w:rPr>
              <w:br/>
              <w:t>Development</w:t>
            </w:r>
            <w:r>
              <w:rPr>
                <w:sz w:val="40"/>
                <w:szCs w:val="40"/>
              </w:rPr>
              <w:br/>
              <w:t>Part I</w:t>
            </w:r>
          </w:p>
        </w:tc>
        <w:tc>
          <w:tcPr>
            <w:tcW w:w="5395" w:type="dxa"/>
          </w:tcPr>
          <w:p w14:paraId="121EB17C" w14:textId="77777777" w:rsidR="00440BF1" w:rsidRPr="003A798E" w:rsidRDefault="00440BF1" w:rsidP="00A9693E"/>
        </w:tc>
      </w:tr>
      <w:tr w:rsidR="00440BF1" w:rsidRPr="003A798E" w14:paraId="57CF822F" w14:textId="77777777" w:rsidTr="00A9693E">
        <w:trPr>
          <w:trHeight w:val="7776"/>
        </w:trPr>
        <w:tc>
          <w:tcPr>
            <w:tcW w:w="5395" w:type="dxa"/>
          </w:tcPr>
          <w:p w14:paraId="0D725628" w14:textId="77777777" w:rsidR="00440BF1" w:rsidRPr="003A798E" w:rsidRDefault="00440BF1" w:rsidP="00A9693E"/>
        </w:tc>
        <w:tc>
          <w:tcPr>
            <w:tcW w:w="5395" w:type="dxa"/>
          </w:tcPr>
          <w:p w14:paraId="765FE48A" w14:textId="77777777" w:rsidR="00440BF1" w:rsidRPr="003A798E" w:rsidRDefault="00440BF1" w:rsidP="00A9693E"/>
        </w:tc>
      </w:tr>
      <w:tr w:rsidR="00440BF1" w:rsidRPr="003A798E" w14:paraId="079DC0C5" w14:textId="77777777" w:rsidTr="00A9693E">
        <w:trPr>
          <w:trHeight w:val="1299"/>
        </w:trPr>
        <w:tc>
          <w:tcPr>
            <w:tcW w:w="5395" w:type="dxa"/>
          </w:tcPr>
          <w:p w14:paraId="4EC22F3F" w14:textId="77777777" w:rsidR="00440BF1" w:rsidRPr="003A798E" w:rsidRDefault="00440BF1" w:rsidP="00A9693E"/>
        </w:tc>
        <w:tc>
          <w:tcPr>
            <w:tcW w:w="5395" w:type="dxa"/>
          </w:tcPr>
          <w:p w14:paraId="0A9B6C7D" w14:textId="77777777" w:rsidR="00440BF1" w:rsidRPr="003A798E" w:rsidRDefault="00440BF1" w:rsidP="00A9693E">
            <w:pPr>
              <w:pStyle w:val="Heading2"/>
            </w:pPr>
            <w:r>
              <w:t>CE BULABULA</w:t>
            </w:r>
          </w:p>
        </w:tc>
      </w:tr>
      <w:tr w:rsidR="00440BF1" w:rsidRPr="00D26C99" w14:paraId="69E7653D" w14:textId="77777777" w:rsidTr="00A9693E">
        <w:trPr>
          <w:trHeight w:val="1402"/>
        </w:trPr>
        <w:tc>
          <w:tcPr>
            <w:tcW w:w="5395" w:type="dxa"/>
          </w:tcPr>
          <w:p w14:paraId="49F8F260" w14:textId="77777777" w:rsidR="00440BF1" w:rsidRPr="003A798E" w:rsidRDefault="00440BF1" w:rsidP="00A9693E"/>
        </w:tc>
        <w:tc>
          <w:tcPr>
            <w:tcW w:w="5395" w:type="dxa"/>
          </w:tcPr>
          <w:p w14:paraId="6E77182D" w14:textId="7F30AF48" w:rsidR="00440BF1" w:rsidRPr="00A059BA" w:rsidRDefault="00440BF1" w:rsidP="00A9693E">
            <w:pPr>
              <w:pStyle w:val="Heading2"/>
              <w:rPr>
                <w:lang w:val="fr-FR"/>
              </w:rPr>
            </w:pPr>
            <w:r>
              <w:t>ST10538419</w:t>
            </w:r>
            <w:r w:rsidR="004D19EC">
              <w:br/>
            </w:r>
            <w:r w:rsidR="004D19EC">
              <w:br/>
            </w:r>
          </w:p>
        </w:tc>
      </w:tr>
    </w:tbl>
    <w:p w14:paraId="6D23CEC4" w14:textId="77777777" w:rsidR="00440BF1" w:rsidRPr="00A059BA" w:rsidRDefault="00440BF1" w:rsidP="00440BF1">
      <w:pPr>
        <w:rPr>
          <w:lang w:val="fr-FR"/>
        </w:rPr>
      </w:pPr>
    </w:p>
    <w:p w14:paraId="11C02DD7" w14:textId="77777777" w:rsidR="00440BF1" w:rsidRPr="00A059BA" w:rsidRDefault="00440BF1" w:rsidP="00440BF1">
      <w:pPr>
        <w:rPr>
          <w:lang w:val="fr-FR"/>
        </w:rPr>
        <w:sectPr w:rsidR="00440BF1" w:rsidRPr="00A059BA" w:rsidSect="00440BF1">
          <w:pgSz w:w="12240" w:h="15840" w:code="1"/>
          <w:pgMar w:top="720" w:right="720" w:bottom="0" w:left="720" w:header="0" w:footer="0" w:gutter="0"/>
          <w:cols w:space="708"/>
          <w:titlePg/>
          <w:docGrid w:linePitch="360"/>
        </w:sectPr>
      </w:pPr>
    </w:p>
    <w:tbl>
      <w:tblPr>
        <w:tblW w:w="10666" w:type="dxa"/>
        <w:shd w:val="clear" w:color="auto" w:fill="EDF0F4" w:themeFill="accent3"/>
        <w:tblLayout w:type="fixed"/>
        <w:tblCellMar>
          <w:left w:w="0" w:type="dxa"/>
          <w:right w:w="0" w:type="dxa"/>
        </w:tblCellMar>
        <w:tblLook w:val="0600" w:firstRow="0" w:lastRow="0" w:firstColumn="0" w:lastColumn="0" w:noHBand="1" w:noVBand="1"/>
      </w:tblPr>
      <w:tblGrid>
        <w:gridCol w:w="709"/>
        <w:gridCol w:w="4624"/>
        <w:gridCol w:w="4912"/>
        <w:gridCol w:w="421"/>
      </w:tblGrid>
      <w:tr w:rsidR="00440BF1" w:rsidRPr="00D26C99" w14:paraId="17DD60BD" w14:textId="77777777" w:rsidTr="00A9693E">
        <w:trPr>
          <w:trHeight w:val="441"/>
        </w:trPr>
        <w:tc>
          <w:tcPr>
            <w:tcW w:w="709" w:type="dxa"/>
            <w:shd w:val="clear" w:color="auto" w:fill="EDF0F4" w:themeFill="accent3"/>
          </w:tcPr>
          <w:p w14:paraId="14AB5585" w14:textId="77777777" w:rsidR="00440BF1" w:rsidRPr="00A059BA" w:rsidRDefault="00440BF1" w:rsidP="00A9693E">
            <w:pPr>
              <w:rPr>
                <w:lang w:val="fr-FR"/>
              </w:rPr>
            </w:pPr>
          </w:p>
        </w:tc>
        <w:tc>
          <w:tcPr>
            <w:tcW w:w="4624" w:type="dxa"/>
            <w:shd w:val="clear" w:color="auto" w:fill="EDF0F4" w:themeFill="accent3"/>
          </w:tcPr>
          <w:p w14:paraId="0BFC7C94" w14:textId="77777777" w:rsidR="00440BF1" w:rsidRPr="00A059BA" w:rsidRDefault="00440BF1" w:rsidP="00A9693E">
            <w:pPr>
              <w:rPr>
                <w:lang w:val="fr-FR"/>
              </w:rPr>
            </w:pPr>
          </w:p>
        </w:tc>
        <w:tc>
          <w:tcPr>
            <w:tcW w:w="4912" w:type="dxa"/>
            <w:shd w:val="clear" w:color="auto" w:fill="EDF0F4" w:themeFill="accent3"/>
          </w:tcPr>
          <w:p w14:paraId="7043E226" w14:textId="77777777" w:rsidR="00440BF1" w:rsidRPr="00A059BA" w:rsidRDefault="00440BF1" w:rsidP="00A9693E">
            <w:pPr>
              <w:rPr>
                <w:lang w:val="fr-FR"/>
              </w:rPr>
            </w:pPr>
          </w:p>
        </w:tc>
        <w:tc>
          <w:tcPr>
            <w:tcW w:w="421" w:type="dxa"/>
            <w:shd w:val="clear" w:color="auto" w:fill="EDF0F4" w:themeFill="accent3"/>
          </w:tcPr>
          <w:p w14:paraId="7747C855" w14:textId="77777777" w:rsidR="00440BF1" w:rsidRPr="00A059BA" w:rsidRDefault="00440BF1" w:rsidP="00A9693E">
            <w:pPr>
              <w:rPr>
                <w:lang w:val="fr-FR"/>
              </w:rPr>
            </w:pPr>
          </w:p>
        </w:tc>
      </w:tr>
      <w:tr w:rsidR="00440BF1" w:rsidRPr="003A798E" w14:paraId="54E2BCB0" w14:textId="77777777" w:rsidTr="00A9693E">
        <w:trPr>
          <w:trHeight w:val="4599"/>
        </w:trPr>
        <w:tc>
          <w:tcPr>
            <w:tcW w:w="709" w:type="dxa"/>
            <w:shd w:val="clear" w:color="auto" w:fill="EDF0F4" w:themeFill="accent3"/>
          </w:tcPr>
          <w:p w14:paraId="22D4EFE1" w14:textId="77777777" w:rsidR="00440BF1" w:rsidRPr="00A059BA" w:rsidRDefault="00440BF1" w:rsidP="00A9693E">
            <w:pPr>
              <w:rPr>
                <w:lang w:val="fr-FR"/>
              </w:rPr>
            </w:pPr>
          </w:p>
        </w:tc>
        <w:tc>
          <w:tcPr>
            <w:tcW w:w="9536" w:type="dxa"/>
            <w:gridSpan w:val="2"/>
            <w:shd w:val="clear" w:color="auto" w:fill="EDF0F4" w:themeFill="accent3"/>
          </w:tcPr>
          <w:p w14:paraId="5E034D93" w14:textId="77777777" w:rsidR="00440BF1" w:rsidRPr="00ED3080" w:rsidRDefault="00440BF1" w:rsidP="00A9693E">
            <w:pPr>
              <w:pStyle w:val="Heading1"/>
              <w:rPr>
                <w:rStyle w:val="Strong"/>
                <w:sz w:val="60"/>
                <w:szCs w:val="60"/>
              </w:rPr>
            </w:pPr>
            <w:r w:rsidRPr="00ED3080">
              <w:rPr>
                <w:rStyle w:val="Strong"/>
                <w:sz w:val="60"/>
                <w:szCs w:val="60"/>
              </w:rPr>
              <w:t>Research</w:t>
            </w:r>
          </w:p>
          <w:p w14:paraId="3FC3DB24" w14:textId="77777777" w:rsidR="00440BF1" w:rsidRDefault="00440BF1" w:rsidP="00A9693E">
            <w:pPr>
              <w:pStyle w:val="Heading2"/>
              <w:rPr>
                <w:rStyle w:val="Strong"/>
              </w:rPr>
            </w:pPr>
            <w:r>
              <w:rPr>
                <w:rStyle w:val="Strong"/>
              </w:rPr>
              <w:t>Five engagement strategies considered</w:t>
            </w:r>
          </w:p>
          <w:p w14:paraId="57BACCA4" w14:textId="77777777" w:rsidR="00440BF1" w:rsidRPr="00ED3080" w:rsidRDefault="00440BF1" w:rsidP="00A9693E"/>
          <w:p w14:paraId="3449A43E" w14:textId="77777777" w:rsidR="00440BF1" w:rsidRDefault="00440BF1" w:rsidP="00A9693E">
            <w:pPr>
              <w:pStyle w:val="Heading2"/>
              <w:spacing w:line="360" w:lineRule="auto"/>
            </w:pPr>
            <w:r w:rsidRPr="00ED3080">
              <w:rPr>
                <w:rFonts w:ascii="Arial" w:eastAsia="Times New Roman" w:hAnsi="Arial" w:cs="Arial"/>
                <w:i w:val="0"/>
                <w:color w:val="auto"/>
                <w:sz w:val="24"/>
                <w:szCs w:val="24"/>
                <w:lang w:val="en-ZA" w:eastAsia="en-GB"/>
              </w:rPr>
              <w:t>Five different methods were analysed for the application of the municipal services. Progressive completion was chosen as the method of preference. They included: (1) progressive completion, where there is a progress bar and guidelines to show the stage of the report; (2) closed loop feedback, which involves acknowledgment of the report with reference number and updating of the status; (3) simple language and cognition for mixed literacy users; (4) co-production by stakeholders, where residents become producers instead of consumers; and (5) building trust, where citizens can be assured about the security of the platform.</w:t>
            </w:r>
            <w:r>
              <w:rPr>
                <w:rFonts w:ascii="Arial" w:eastAsia="Times New Roman" w:hAnsi="Arial" w:cs="Arial"/>
                <w:i w:val="0"/>
                <w:color w:val="auto"/>
                <w:sz w:val="24"/>
                <w:szCs w:val="24"/>
                <w:lang w:val="en-ZA" w:eastAsia="en-GB"/>
              </w:rPr>
              <w:br/>
            </w:r>
            <w:r>
              <w:rPr>
                <w:rFonts w:ascii="Arial" w:eastAsia="Times New Roman" w:hAnsi="Arial" w:cs="Arial"/>
                <w:i w:val="0"/>
                <w:color w:val="auto"/>
                <w:sz w:val="24"/>
                <w:szCs w:val="24"/>
                <w:lang w:val="en-ZA" w:eastAsia="en-GB"/>
              </w:rPr>
              <w:br/>
            </w:r>
            <w:r>
              <w:rPr>
                <w:rStyle w:val="Strong"/>
              </w:rPr>
              <w:t>Why progressive completion</w:t>
            </w:r>
          </w:p>
          <w:p w14:paraId="082EB13F" w14:textId="77777777" w:rsidR="00440BF1" w:rsidRPr="00ED3080" w:rsidRDefault="00440BF1" w:rsidP="00A9693E">
            <w:pPr>
              <w:pStyle w:val="NormalWeb"/>
              <w:spacing w:line="360" w:lineRule="auto"/>
              <w:rPr>
                <w:rFonts w:ascii="Arial" w:hAnsi="Arial" w:cs="Arial"/>
              </w:rPr>
            </w:pPr>
            <w:r w:rsidRPr="00ED3080">
              <w:rPr>
                <w:rFonts w:ascii="Arial" w:hAnsi="Arial" w:cs="Arial"/>
              </w:rPr>
              <w:t>The approach of progressive completion eliminates one major risk that accompanies the fault report form: when residents initiate the form, but either drop off or submit a report without sufficient detail for dispatching the repair team. In the form itself, there is a progress bar with a sub-message that progresses with each piece of information provided. Location contributes twenty-five percent, category another twenty-five percent, description thirty, and a photo/document contribution twenty percent. The sub-message shifts from asking the resident to indicate the location of the fault to submit the form on full completion. No data is hidden on additional pages, and the specific item that is missing is specified.</w:t>
            </w:r>
          </w:p>
          <w:p w14:paraId="025285BF" w14:textId="77777777" w:rsidR="00440BF1" w:rsidRPr="00ED3080" w:rsidRDefault="00440BF1" w:rsidP="00A9693E">
            <w:pPr>
              <w:pStyle w:val="NormalWeb"/>
              <w:spacing w:line="360" w:lineRule="auto"/>
              <w:rPr>
                <w:rFonts w:ascii="Arial" w:hAnsi="Arial" w:cs="Arial"/>
              </w:rPr>
            </w:pPr>
          </w:p>
          <w:p w14:paraId="32E1AB48" w14:textId="77777777" w:rsidR="00440BF1" w:rsidRDefault="00440BF1" w:rsidP="00A9693E">
            <w:pPr>
              <w:pStyle w:val="NormalWeb"/>
              <w:spacing w:line="360" w:lineRule="auto"/>
              <w:rPr>
                <w:rFonts w:ascii="Arial" w:hAnsi="Arial" w:cs="Arial"/>
              </w:rPr>
            </w:pPr>
            <w:r w:rsidRPr="00ED3080">
              <w:rPr>
                <w:rFonts w:ascii="Arial" w:hAnsi="Arial" w:cs="Arial"/>
              </w:rPr>
              <w:t xml:space="preserve">There are three reasons why this design choice is justified. Firstly, it is based on scientific findings in human </w:t>
            </w:r>
            <w:proofErr w:type="spellStart"/>
            <w:r w:rsidRPr="00ED3080">
              <w:rPr>
                <w:rFonts w:ascii="Arial" w:hAnsi="Arial" w:cs="Arial"/>
              </w:rPr>
              <w:t>behavior</w:t>
            </w:r>
            <w:proofErr w:type="spellEnd"/>
            <w:r w:rsidRPr="00ED3080">
              <w:rPr>
                <w:rFonts w:ascii="Arial" w:hAnsi="Arial" w:cs="Arial"/>
              </w:rPr>
              <w:t xml:space="preserve">: making a task appear as ongoing rather than non-started increases its completion chances (Nunes &amp; Drèze, 2006). A progress bar that fills as the user completes fields is the practical embodiment of this idea in fault reporting. Secondly, the design follows existing usability guidelines that emphasize the necessity to show the user his/her current place in the sequence and what he/she needs to do next in clear </w:t>
            </w:r>
            <w:r w:rsidRPr="00ED3080">
              <w:rPr>
                <w:rFonts w:ascii="Arial" w:hAnsi="Arial" w:cs="Arial"/>
              </w:rPr>
              <w:lastRenderedPageBreak/>
              <w:t>language (W3C, 2021). For a city that serves people with varying degrees of digital proficiency, this is particularly important.</w:t>
            </w:r>
          </w:p>
          <w:p w14:paraId="1674BA29" w14:textId="77777777" w:rsidR="00440BF1" w:rsidRPr="00ED3080" w:rsidRDefault="00440BF1" w:rsidP="00A9693E">
            <w:pPr>
              <w:pStyle w:val="NormalWeb"/>
              <w:spacing w:line="360" w:lineRule="auto"/>
              <w:rPr>
                <w:rFonts w:ascii="Arial" w:hAnsi="Arial" w:cs="Arial"/>
              </w:rPr>
            </w:pPr>
          </w:p>
          <w:p w14:paraId="17166893" w14:textId="77777777" w:rsidR="00440BF1" w:rsidRPr="00440BF1" w:rsidRDefault="00440BF1" w:rsidP="00A9693E">
            <w:pPr>
              <w:pStyle w:val="NormalWeb"/>
              <w:spacing w:line="360" w:lineRule="auto"/>
              <w:rPr>
                <w:rFonts w:ascii="Arial" w:hAnsi="Arial" w:cs="Arial"/>
              </w:rPr>
            </w:pPr>
            <w:r w:rsidRPr="00440BF1">
              <w:rPr>
                <w:rFonts w:ascii="Arial" w:hAnsi="Arial" w:cs="Arial"/>
              </w:rPr>
              <w:t xml:space="preserve">Third, the proposed strategy fits the municipal setting in South Africa. According to Hart, </w:t>
            </w:r>
            <w:proofErr w:type="spellStart"/>
            <w:r w:rsidRPr="00440BF1">
              <w:rPr>
                <w:rFonts w:ascii="Arial" w:hAnsi="Arial" w:cs="Arial"/>
              </w:rPr>
              <w:t>Booyens</w:t>
            </w:r>
            <w:proofErr w:type="spellEnd"/>
            <w:r w:rsidRPr="00440BF1">
              <w:rPr>
                <w:rFonts w:ascii="Arial" w:hAnsi="Arial" w:cs="Arial"/>
              </w:rPr>
              <w:t xml:space="preserve">, and </w:t>
            </w:r>
            <w:proofErr w:type="spellStart"/>
            <w:r w:rsidRPr="00440BF1">
              <w:rPr>
                <w:rFonts w:ascii="Arial" w:hAnsi="Arial" w:cs="Arial"/>
              </w:rPr>
              <w:t>Sinyolo</w:t>
            </w:r>
            <w:proofErr w:type="spellEnd"/>
            <w:r w:rsidRPr="00440BF1">
              <w:rPr>
                <w:rFonts w:ascii="Arial" w:hAnsi="Arial" w:cs="Arial"/>
              </w:rPr>
              <w:t xml:space="preserve"> (2020), the success of inclusive innovation in poorly resourced municipalities depends on stakeholder participation, resource availability, and network presence; the mechanism of quietly guiding the residents into full submissions falls into this category. According to </w:t>
            </w:r>
            <w:proofErr w:type="spellStart"/>
            <w:r w:rsidRPr="00440BF1">
              <w:rPr>
                <w:rFonts w:ascii="Arial" w:hAnsi="Arial" w:cs="Arial"/>
              </w:rPr>
              <w:t>Mahwai</w:t>
            </w:r>
            <w:proofErr w:type="spellEnd"/>
            <w:r w:rsidRPr="00440BF1">
              <w:rPr>
                <w:rFonts w:ascii="Arial" w:hAnsi="Arial" w:cs="Arial"/>
              </w:rPr>
              <w:t xml:space="preserve"> et al. (2023), municipalities have to ensure value, access, skills, transparency, trust, and funding in order for e-participation to become efficient; in turn, the progress indicator decreases the skills gap while making the results of completion clear. Furthermore, according to Ayodele et al. (2025), adaptive instruments are better suited for the use of officials who work in conditions of constrained capacity; at the same time, the weighting used in the progress bar can be changed when departmental requirements change.</w:t>
            </w:r>
          </w:p>
          <w:p w14:paraId="51B69349" w14:textId="77777777" w:rsidR="00440BF1" w:rsidRPr="00440BF1" w:rsidRDefault="00440BF1" w:rsidP="00A9693E">
            <w:pPr>
              <w:pStyle w:val="NormalWeb"/>
              <w:spacing w:line="360" w:lineRule="auto"/>
              <w:rPr>
                <w:rFonts w:ascii="Arial" w:hAnsi="Arial" w:cs="Arial"/>
              </w:rPr>
            </w:pPr>
          </w:p>
          <w:p w14:paraId="643D4716" w14:textId="77777777" w:rsidR="00440BF1" w:rsidRDefault="00440BF1" w:rsidP="00A9693E">
            <w:pPr>
              <w:pStyle w:val="NormalWeb"/>
              <w:spacing w:line="360" w:lineRule="auto"/>
              <w:rPr>
                <w:rStyle w:val="Strong"/>
              </w:rPr>
            </w:pPr>
            <w:r w:rsidRPr="00440BF1">
              <w:rPr>
                <w:rFonts w:ascii="Arial" w:hAnsi="Arial" w:cs="Arial"/>
              </w:rPr>
              <w:t>The alternatives were rejected from the practical point of view. Points and badges would require users' accounts, moderation, and budget for rewards – none of which the municipality can afford. Activity feed requires information that is not collected by the application yet. Progressive completion does not need anything mentioned above. It is implemented within the existing form, and gives the municipality all the needed data for assigning a crew: the location, category, description, and usually a picture.</w:t>
            </w:r>
          </w:p>
          <w:p w14:paraId="1DDD0297" w14:textId="77777777" w:rsidR="00440BF1" w:rsidRDefault="00440BF1" w:rsidP="00A9693E">
            <w:pPr>
              <w:pStyle w:val="Heading1"/>
              <w:rPr>
                <w:rStyle w:val="Strong"/>
                <w:sz w:val="40"/>
                <w:szCs w:val="40"/>
              </w:rPr>
            </w:pPr>
          </w:p>
          <w:p w14:paraId="66F281A7" w14:textId="77777777" w:rsidR="00440BF1" w:rsidRDefault="00440BF1" w:rsidP="00A9693E">
            <w:pPr>
              <w:pStyle w:val="NormalWeb"/>
              <w:spacing w:line="360" w:lineRule="auto"/>
            </w:pPr>
          </w:p>
          <w:p w14:paraId="5D97FA26" w14:textId="77777777" w:rsidR="004D19EC" w:rsidRDefault="004D19EC" w:rsidP="00A9693E">
            <w:pPr>
              <w:pStyle w:val="NormalWeb"/>
              <w:spacing w:line="360" w:lineRule="auto"/>
            </w:pPr>
          </w:p>
          <w:p w14:paraId="692400B2" w14:textId="77777777" w:rsidR="004D19EC" w:rsidRDefault="004D19EC" w:rsidP="00A9693E">
            <w:pPr>
              <w:pStyle w:val="NormalWeb"/>
              <w:spacing w:line="360" w:lineRule="auto"/>
            </w:pPr>
          </w:p>
          <w:p w14:paraId="0064C0A8" w14:textId="77777777" w:rsidR="00440BF1" w:rsidRPr="00C06AC9" w:rsidRDefault="00440BF1" w:rsidP="00A9693E">
            <w:pPr>
              <w:pStyle w:val="Heading1"/>
              <w:rPr>
                <w:sz w:val="40"/>
                <w:szCs w:val="40"/>
              </w:rPr>
            </w:pPr>
            <w:r w:rsidRPr="00C06AC9">
              <w:rPr>
                <w:rStyle w:val="Strong"/>
                <w:sz w:val="40"/>
                <w:szCs w:val="40"/>
              </w:rPr>
              <w:lastRenderedPageBreak/>
              <w:t>Reference list</w:t>
            </w:r>
          </w:p>
          <w:p w14:paraId="343FB078" w14:textId="77777777" w:rsidR="00440BF1" w:rsidRPr="00ED3080" w:rsidRDefault="00440BF1" w:rsidP="00A9693E">
            <w:pPr>
              <w:pStyle w:val="NormalWeb"/>
              <w:spacing w:line="360" w:lineRule="auto"/>
              <w:rPr>
                <w:rFonts w:ascii="Arial" w:hAnsi="Arial" w:cs="Arial"/>
              </w:rPr>
            </w:pPr>
            <w:r w:rsidRPr="00ED3080">
              <w:rPr>
                <w:rFonts w:ascii="Arial" w:hAnsi="Arial" w:cs="Arial"/>
              </w:rPr>
              <w:t xml:space="preserve">Ayodele, O., Plantinga, P., Sanchez-Bentacourt, D., Dlamini, S. &amp; Dlamini, N. 2025. How do researchers and public officials co-navigate e-participation implementation? An action-research experience with South African municipalities. </w:t>
            </w:r>
            <w:r w:rsidRPr="00ED3080">
              <w:rPr>
                <w:rFonts w:ascii="Arial" w:hAnsi="Arial" w:cs="Arial"/>
                <w:i/>
                <w:iCs/>
              </w:rPr>
              <w:t>Systems</w:t>
            </w:r>
            <w:r w:rsidRPr="00ED3080">
              <w:rPr>
                <w:rFonts w:ascii="Arial" w:hAnsi="Arial" w:cs="Arial"/>
              </w:rPr>
              <w:t>, 13(2):125.</w:t>
            </w:r>
          </w:p>
          <w:p w14:paraId="0A61B15B" w14:textId="77777777" w:rsidR="00440BF1" w:rsidRPr="00ED3080" w:rsidRDefault="00440BF1" w:rsidP="00A9693E">
            <w:pPr>
              <w:pStyle w:val="NormalWeb"/>
              <w:spacing w:line="360" w:lineRule="auto"/>
              <w:rPr>
                <w:rFonts w:ascii="Arial" w:hAnsi="Arial" w:cs="Arial"/>
              </w:rPr>
            </w:pPr>
            <w:r w:rsidRPr="00ED3080">
              <w:rPr>
                <w:rFonts w:ascii="Arial" w:hAnsi="Arial" w:cs="Arial"/>
              </w:rPr>
              <w:t xml:space="preserve">Hart, T.G.B., </w:t>
            </w:r>
            <w:proofErr w:type="spellStart"/>
            <w:r w:rsidRPr="00ED3080">
              <w:rPr>
                <w:rFonts w:ascii="Arial" w:hAnsi="Arial" w:cs="Arial"/>
              </w:rPr>
              <w:t>Booyens</w:t>
            </w:r>
            <w:proofErr w:type="spellEnd"/>
            <w:r w:rsidRPr="00ED3080">
              <w:rPr>
                <w:rFonts w:ascii="Arial" w:hAnsi="Arial" w:cs="Arial"/>
              </w:rPr>
              <w:t xml:space="preserve">, I. &amp; </w:t>
            </w:r>
            <w:proofErr w:type="spellStart"/>
            <w:r w:rsidRPr="00ED3080">
              <w:rPr>
                <w:rFonts w:ascii="Arial" w:hAnsi="Arial" w:cs="Arial"/>
              </w:rPr>
              <w:t>Sinyolo</w:t>
            </w:r>
            <w:proofErr w:type="spellEnd"/>
            <w:r w:rsidRPr="00ED3080">
              <w:rPr>
                <w:rFonts w:ascii="Arial" w:hAnsi="Arial" w:cs="Arial"/>
              </w:rPr>
              <w:t xml:space="preserve">, S. 2020. Innovation for development in South Africa: experiences with basic service technologies in distressed municipalities. </w:t>
            </w:r>
            <w:r w:rsidRPr="00ED3080">
              <w:rPr>
                <w:rFonts w:ascii="Arial" w:hAnsi="Arial" w:cs="Arial"/>
                <w:i/>
                <w:iCs/>
              </w:rPr>
              <w:t>Forum for Development Studies</w:t>
            </w:r>
            <w:r w:rsidRPr="00ED3080">
              <w:rPr>
                <w:rFonts w:ascii="Arial" w:hAnsi="Arial" w:cs="Arial"/>
              </w:rPr>
              <w:t>, 47(1):23–47.</w:t>
            </w:r>
          </w:p>
          <w:p w14:paraId="60DDB60A" w14:textId="77777777" w:rsidR="00440BF1" w:rsidRPr="00ED3080" w:rsidRDefault="00440BF1" w:rsidP="00A9693E">
            <w:pPr>
              <w:pStyle w:val="NormalWeb"/>
              <w:spacing w:line="360" w:lineRule="auto"/>
              <w:rPr>
                <w:rFonts w:ascii="Arial" w:hAnsi="Arial" w:cs="Arial"/>
              </w:rPr>
            </w:pPr>
            <w:proofErr w:type="spellStart"/>
            <w:r w:rsidRPr="00ED3080">
              <w:rPr>
                <w:rFonts w:ascii="Arial" w:hAnsi="Arial" w:cs="Arial"/>
              </w:rPr>
              <w:t>Mahwai</w:t>
            </w:r>
            <w:proofErr w:type="spellEnd"/>
            <w:r w:rsidRPr="00ED3080">
              <w:rPr>
                <w:rFonts w:ascii="Arial" w:hAnsi="Arial" w:cs="Arial"/>
              </w:rPr>
              <w:t xml:space="preserve">, N., Dlamini, S., </w:t>
            </w:r>
            <w:proofErr w:type="spellStart"/>
            <w:r w:rsidRPr="00ED3080">
              <w:rPr>
                <w:rFonts w:ascii="Arial" w:hAnsi="Arial" w:cs="Arial"/>
              </w:rPr>
              <w:t>Herselman</w:t>
            </w:r>
            <w:proofErr w:type="spellEnd"/>
            <w:r w:rsidRPr="00ED3080">
              <w:rPr>
                <w:rFonts w:ascii="Arial" w:hAnsi="Arial" w:cs="Arial"/>
              </w:rPr>
              <w:t xml:space="preserve">, M., Phiri, C. &amp; Meyer, I. 2023. A scoping review for proposing an </w:t>
            </w:r>
            <w:proofErr w:type="spellStart"/>
            <w:r w:rsidRPr="00ED3080">
              <w:rPr>
                <w:rFonts w:ascii="Arial" w:hAnsi="Arial" w:cs="Arial"/>
              </w:rPr>
              <w:t>eParticipation</w:t>
            </w:r>
            <w:proofErr w:type="spellEnd"/>
            <w:r w:rsidRPr="00ED3080">
              <w:rPr>
                <w:rFonts w:ascii="Arial" w:hAnsi="Arial" w:cs="Arial"/>
              </w:rPr>
              <w:t xml:space="preserve"> framework for South African local municipalities. In: </w:t>
            </w:r>
            <w:r w:rsidRPr="00ED3080">
              <w:rPr>
                <w:rFonts w:ascii="Arial" w:hAnsi="Arial" w:cs="Arial"/>
                <w:i/>
                <w:iCs/>
              </w:rPr>
              <w:t>IST-Africa 2023 Conference Proceedings</w:t>
            </w:r>
            <w:r w:rsidRPr="00ED3080">
              <w:rPr>
                <w:rFonts w:ascii="Arial" w:hAnsi="Arial" w:cs="Arial"/>
              </w:rPr>
              <w:t>. IST-Africa Institute and IIMC.</w:t>
            </w:r>
          </w:p>
          <w:p w14:paraId="349D9080" w14:textId="77777777" w:rsidR="00440BF1" w:rsidRPr="00ED3080" w:rsidRDefault="00440BF1" w:rsidP="00A9693E">
            <w:pPr>
              <w:pStyle w:val="NormalWeb"/>
              <w:spacing w:line="360" w:lineRule="auto"/>
              <w:rPr>
                <w:rFonts w:ascii="Arial" w:hAnsi="Arial" w:cs="Arial"/>
              </w:rPr>
            </w:pPr>
            <w:r w:rsidRPr="00ED3080">
              <w:rPr>
                <w:rFonts w:ascii="Arial" w:hAnsi="Arial" w:cs="Arial"/>
              </w:rPr>
              <w:t xml:space="preserve">Nunes, J.C. &amp; Drèze, X. 2006. The endowed progress effect: how artificial advancement increases effort. </w:t>
            </w:r>
            <w:r w:rsidRPr="00ED3080">
              <w:rPr>
                <w:rFonts w:ascii="Arial" w:hAnsi="Arial" w:cs="Arial"/>
                <w:i/>
                <w:iCs/>
              </w:rPr>
              <w:t>Journal of Consumer Research</w:t>
            </w:r>
            <w:r w:rsidRPr="00ED3080">
              <w:rPr>
                <w:rFonts w:ascii="Arial" w:hAnsi="Arial" w:cs="Arial"/>
              </w:rPr>
              <w:t>, 32(4):504–512.</w:t>
            </w:r>
          </w:p>
          <w:p w14:paraId="1BBD4370" w14:textId="1337D791" w:rsidR="00440BF1" w:rsidRPr="00440BF1" w:rsidRDefault="00440BF1" w:rsidP="00A9693E">
            <w:pPr>
              <w:pStyle w:val="NormalWeb"/>
              <w:spacing w:line="360" w:lineRule="auto"/>
              <w:rPr>
                <w:rFonts w:ascii="Arial" w:hAnsi="Arial" w:cs="Arial"/>
              </w:rPr>
            </w:pPr>
            <w:r w:rsidRPr="00ED3080">
              <w:rPr>
                <w:rFonts w:ascii="Arial" w:hAnsi="Arial" w:cs="Arial"/>
              </w:rPr>
              <w:t xml:space="preserve">W3C. 2021. </w:t>
            </w:r>
            <w:r w:rsidRPr="00ED3080">
              <w:rPr>
                <w:rFonts w:ascii="Arial" w:hAnsi="Arial" w:cs="Arial"/>
                <w:i/>
                <w:iCs/>
              </w:rPr>
              <w:t>Making content usable for people with cognitive and learning disabilities.</w:t>
            </w:r>
            <w:r w:rsidRPr="00ED3080">
              <w:rPr>
                <w:rFonts w:ascii="Arial" w:hAnsi="Arial" w:cs="Arial"/>
              </w:rPr>
              <w:t xml:space="preserve"> W3C Working Group Note, 29 April. Available at: </w:t>
            </w:r>
            <w:hyperlink r:id="rId10" w:history="1">
              <w:r w:rsidRPr="00ED3080">
                <w:rPr>
                  <w:rFonts w:ascii="Arial" w:hAnsi="Arial" w:cs="Arial"/>
                </w:rPr>
                <w:t>https://www.w3.org/TR/2021/NOTE-coga-usable-20210429/</w:t>
              </w:r>
            </w:hyperlink>
            <w:r w:rsidRPr="00ED3080">
              <w:rPr>
                <w:rFonts w:ascii="Arial" w:hAnsi="Arial" w:cs="Arial"/>
              </w:rPr>
              <w:t xml:space="preserve"> [Accessed: </w:t>
            </w:r>
            <w:r w:rsidR="006A0AAF">
              <w:rPr>
                <w:rFonts w:ascii="Arial" w:hAnsi="Arial" w:cs="Arial"/>
              </w:rPr>
              <w:t>1</w:t>
            </w:r>
            <w:r w:rsidRPr="00ED3080">
              <w:rPr>
                <w:rFonts w:ascii="Arial" w:hAnsi="Arial" w:cs="Arial"/>
              </w:rPr>
              <w:t xml:space="preserve"> September 2026].</w:t>
            </w:r>
          </w:p>
        </w:tc>
        <w:tc>
          <w:tcPr>
            <w:tcW w:w="421" w:type="dxa"/>
            <w:shd w:val="clear" w:color="auto" w:fill="EDF0F4" w:themeFill="accent3"/>
          </w:tcPr>
          <w:p w14:paraId="46D0D75C" w14:textId="77777777" w:rsidR="00440BF1" w:rsidRPr="003A798E" w:rsidRDefault="00440BF1" w:rsidP="00A9693E"/>
        </w:tc>
      </w:tr>
    </w:tbl>
    <w:p w14:paraId="196D84BB" w14:textId="77777777" w:rsidR="00440BF1" w:rsidRDefault="00440BF1" w:rsidP="00440BF1">
      <w:pPr>
        <w:sectPr w:rsidR="00440BF1" w:rsidSect="00440BF1">
          <w:pgSz w:w="12240" w:h="15840" w:code="1"/>
          <w:pgMar w:top="720" w:right="720" w:bottom="0" w:left="720" w:header="709" w:footer="432" w:gutter="0"/>
          <w:cols w:space="708"/>
          <w:titlePg/>
          <w:docGrid w:linePitch="360"/>
        </w:sectPr>
      </w:pPr>
    </w:p>
    <w:p w14:paraId="1989B6C7" w14:textId="77777777" w:rsidR="00440BF1" w:rsidRPr="00440BF1" w:rsidRDefault="00440BF1" w:rsidP="00440BF1"/>
    <w:p w14:paraId="2577CCFD" w14:textId="7458D2A3" w:rsidR="00A81248" w:rsidRPr="00440BF1" w:rsidRDefault="00A81248" w:rsidP="00440BF1"/>
    <w:sectPr w:rsidR="00A81248" w:rsidRPr="00440BF1" w:rsidSect="00286C35">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83C17" w14:textId="77777777" w:rsidR="007A3B75" w:rsidRDefault="007A3B75" w:rsidP="001205A1">
      <w:r>
        <w:separator/>
      </w:r>
    </w:p>
  </w:endnote>
  <w:endnote w:type="continuationSeparator" w:id="0">
    <w:p w14:paraId="1A6893CB" w14:textId="77777777" w:rsidR="007A3B75" w:rsidRDefault="007A3B75"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5480F" w14:textId="77777777" w:rsidR="007A3B75" w:rsidRDefault="007A3B75" w:rsidP="001205A1">
      <w:r>
        <w:separator/>
      </w:r>
    </w:p>
  </w:footnote>
  <w:footnote w:type="continuationSeparator" w:id="0">
    <w:p w14:paraId="69B7D22B" w14:textId="77777777" w:rsidR="007A3B75" w:rsidRDefault="007A3B75"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04B54"/>
    <w:multiLevelType w:val="hybridMultilevel"/>
    <w:tmpl w:val="E01AC8C8"/>
    <w:lvl w:ilvl="0" w:tplc="4DF2ABF4">
      <w:start w:val="1"/>
      <w:numFmt w:val="bullet"/>
      <w:lvlText w:val="-"/>
      <w:lvlJc w:val="left"/>
      <w:pPr>
        <w:ind w:left="720" w:hanging="360"/>
      </w:pPr>
      <w:rPr>
        <w:rFonts w:ascii="Aptos" w:hAnsi="Aptos" w:hint="default"/>
      </w:rPr>
    </w:lvl>
    <w:lvl w:ilvl="1" w:tplc="3618B00C">
      <w:start w:val="1"/>
      <w:numFmt w:val="bullet"/>
      <w:lvlText w:val="o"/>
      <w:lvlJc w:val="left"/>
      <w:pPr>
        <w:ind w:left="1440" w:hanging="360"/>
      </w:pPr>
      <w:rPr>
        <w:rFonts w:ascii="Courier New" w:hAnsi="Courier New" w:hint="default"/>
      </w:rPr>
    </w:lvl>
    <w:lvl w:ilvl="2" w:tplc="64AA3BCA">
      <w:start w:val="1"/>
      <w:numFmt w:val="bullet"/>
      <w:lvlText w:val=""/>
      <w:lvlJc w:val="left"/>
      <w:pPr>
        <w:ind w:left="2160" w:hanging="360"/>
      </w:pPr>
      <w:rPr>
        <w:rFonts w:ascii="Wingdings" w:hAnsi="Wingdings" w:hint="default"/>
      </w:rPr>
    </w:lvl>
    <w:lvl w:ilvl="3" w:tplc="246A5596">
      <w:start w:val="1"/>
      <w:numFmt w:val="bullet"/>
      <w:lvlText w:val=""/>
      <w:lvlJc w:val="left"/>
      <w:pPr>
        <w:ind w:left="2880" w:hanging="360"/>
      </w:pPr>
      <w:rPr>
        <w:rFonts w:ascii="Symbol" w:hAnsi="Symbol" w:hint="default"/>
      </w:rPr>
    </w:lvl>
    <w:lvl w:ilvl="4" w:tplc="EC8E8DC6">
      <w:start w:val="1"/>
      <w:numFmt w:val="bullet"/>
      <w:lvlText w:val="o"/>
      <w:lvlJc w:val="left"/>
      <w:pPr>
        <w:ind w:left="3600" w:hanging="360"/>
      </w:pPr>
      <w:rPr>
        <w:rFonts w:ascii="Courier New" w:hAnsi="Courier New" w:hint="default"/>
      </w:rPr>
    </w:lvl>
    <w:lvl w:ilvl="5" w:tplc="8ADCB672">
      <w:start w:val="1"/>
      <w:numFmt w:val="bullet"/>
      <w:lvlText w:val=""/>
      <w:lvlJc w:val="left"/>
      <w:pPr>
        <w:ind w:left="4320" w:hanging="360"/>
      </w:pPr>
      <w:rPr>
        <w:rFonts w:ascii="Wingdings" w:hAnsi="Wingdings" w:hint="default"/>
      </w:rPr>
    </w:lvl>
    <w:lvl w:ilvl="6" w:tplc="D5D25C52">
      <w:start w:val="1"/>
      <w:numFmt w:val="bullet"/>
      <w:lvlText w:val=""/>
      <w:lvlJc w:val="left"/>
      <w:pPr>
        <w:ind w:left="5040" w:hanging="360"/>
      </w:pPr>
      <w:rPr>
        <w:rFonts w:ascii="Symbol" w:hAnsi="Symbol" w:hint="default"/>
      </w:rPr>
    </w:lvl>
    <w:lvl w:ilvl="7" w:tplc="44D06AF0">
      <w:start w:val="1"/>
      <w:numFmt w:val="bullet"/>
      <w:lvlText w:val="o"/>
      <w:lvlJc w:val="left"/>
      <w:pPr>
        <w:ind w:left="5760" w:hanging="360"/>
      </w:pPr>
      <w:rPr>
        <w:rFonts w:ascii="Courier New" w:hAnsi="Courier New" w:hint="default"/>
      </w:rPr>
    </w:lvl>
    <w:lvl w:ilvl="8" w:tplc="F58A786A">
      <w:start w:val="1"/>
      <w:numFmt w:val="bullet"/>
      <w:lvlText w:val=""/>
      <w:lvlJc w:val="left"/>
      <w:pPr>
        <w:ind w:left="6480" w:hanging="360"/>
      </w:pPr>
      <w:rPr>
        <w:rFonts w:ascii="Wingdings" w:hAnsi="Wingdings" w:hint="default"/>
      </w:rPr>
    </w:lvl>
  </w:abstractNum>
  <w:abstractNum w:abstractNumId="1" w15:restartNumberingAfterBreak="0">
    <w:nsid w:val="76B8BC5D"/>
    <w:multiLevelType w:val="hybridMultilevel"/>
    <w:tmpl w:val="DF265CA6"/>
    <w:lvl w:ilvl="0" w:tplc="B3622F82">
      <w:start w:val="1"/>
      <w:numFmt w:val="bullet"/>
      <w:lvlText w:val="-"/>
      <w:lvlJc w:val="left"/>
      <w:pPr>
        <w:ind w:left="720" w:hanging="360"/>
      </w:pPr>
      <w:rPr>
        <w:rFonts w:ascii="Aptos" w:hAnsi="Aptos" w:hint="default"/>
      </w:rPr>
    </w:lvl>
    <w:lvl w:ilvl="1" w:tplc="052E28A6">
      <w:start w:val="1"/>
      <w:numFmt w:val="bullet"/>
      <w:lvlText w:val="o"/>
      <w:lvlJc w:val="left"/>
      <w:pPr>
        <w:ind w:left="1440" w:hanging="360"/>
      </w:pPr>
      <w:rPr>
        <w:rFonts w:ascii="Courier New" w:hAnsi="Courier New" w:hint="default"/>
      </w:rPr>
    </w:lvl>
    <w:lvl w:ilvl="2" w:tplc="C550008C">
      <w:start w:val="1"/>
      <w:numFmt w:val="bullet"/>
      <w:lvlText w:val=""/>
      <w:lvlJc w:val="left"/>
      <w:pPr>
        <w:ind w:left="2160" w:hanging="360"/>
      </w:pPr>
      <w:rPr>
        <w:rFonts w:ascii="Wingdings" w:hAnsi="Wingdings" w:hint="default"/>
      </w:rPr>
    </w:lvl>
    <w:lvl w:ilvl="3" w:tplc="4EB4AA00">
      <w:start w:val="1"/>
      <w:numFmt w:val="bullet"/>
      <w:lvlText w:val=""/>
      <w:lvlJc w:val="left"/>
      <w:pPr>
        <w:ind w:left="2880" w:hanging="360"/>
      </w:pPr>
      <w:rPr>
        <w:rFonts w:ascii="Symbol" w:hAnsi="Symbol" w:hint="default"/>
      </w:rPr>
    </w:lvl>
    <w:lvl w:ilvl="4" w:tplc="5C02560C">
      <w:start w:val="1"/>
      <w:numFmt w:val="bullet"/>
      <w:lvlText w:val="o"/>
      <w:lvlJc w:val="left"/>
      <w:pPr>
        <w:ind w:left="3600" w:hanging="360"/>
      </w:pPr>
      <w:rPr>
        <w:rFonts w:ascii="Courier New" w:hAnsi="Courier New" w:hint="default"/>
      </w:rPr>
    </w:lvl>
    <w:lvl w:ilvl="5" w:tplc="5E348E10">
      <w:start w:val="1"/>
      <w:numFmt w:val="bullet"/>
      <w:lvlText w:val=""/>
      <w:lvlJc w:val="left"/>
      <w:pPr>
        <w:ind w:left="4320" w:hanging="360"/>
      </w:pPr>
      <w:rPr>
        <w:rFonts w:ascii="Wingdings" w:hAnsi="Wingdings" w:hint="default"/>
      </w:rPr>
    </w:lvl>
    <w:lvl w:ilvl="6" w:tplc="9606FE5C">
      <w:start w:val="1"/>
      <w:numFmt w:val="bullet"/>
      <w:lvlText w:val=""/>
      <w:lvlJc w:val="left"/>
      <w:pPr>
        <w:ind w:left="5040" w:hanging="360"/>
      </w:pPr>
      <w:rPr>
        <w:rFonts w:ascii="Symbol" w:hAnsi="Symbol" w:hint="default"/>
      </w:rPr>
    </w:lvl>
    <w:lvl w:ilvl="7" w:tplc="98907516">
      <w:start w:val="1"/>
      <w:numFmt w:val="bullet"/>
      <w:lvlText w:val="o"/>
      <w:lvlJc w:val="left"/>
      <w:pPr>
        <w:ind w:left="5760" w:hanging="360"/>
      </w:pPr>
      <w:rPr>
        <w:rFonts w:ascii="Courier New" w:hAnsi="Courier New" w:hint="default"/>
      </w:rPr>
    </w:lvl>
    <w:lvl w:ilvl="8" w:tplc="40C64D74">
      <w:start w:val="1"/>
      <w:numFmt w:val="bullet"/>
      <w:lvlText w:val=""/>
      <w:lvlJc w:val="left"/>
      <w:pPr>
        <w:ind w:left="6480" w:hanging="360"/>
      </w:pPr>
      <w:rPr>
        <w:rFonts w:ascii="Wingdings" w:hAnsi="Wingdings" w:hint="default"/>
      </w:rPr>
    </w:lvl>
  </w:abstractNum>
  <w:num w:numId="1" w16cid:durableId="1499999315">
    <w:abstractNumId w:val="1"/>
  </w:num>
  <w:num w:numId="2" w16cid:durableId="14050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C9"/>
    <w:rsid w:val="000963DD"/>
    <w:rsid w:val="000A2A69"/>
    <w:rsid w:val="000C1994"/>
    <w:rsid w:val="000C4ED1"/>
    <w:rsid w:val="001205A1"/>
    <w:rsid w:val="00142538"/>
    <w:rsid w:val="00154224"/>
    <w:rsid w:val="00286C35"/>
    <w:rsid w:val="002877E8"/>
    <w:rsid w:val="002E7C4E"/>
    <w:rsid w:val="0031055C"/>
    <w:rsid w:val="00371EE1"/>
    <w:rsid w:val="003767CC"/>
    <w:rsid w:val="0039287F"/>
    <w:rsid w:val="003A798E"/>
    <w:rsid w:val="00425A99"/>
    <w:rsid w:val="00440BF1"/>
    <w:rsid w:val="004D19EC"/>
    <w:rsid w:val="00517B1F"/>
    <w:rsid w:val="00522989"/>
    <w:rsid w:val="0054220F"/>
    <w:rsid w:val="00572234"/>
    <w:rsid w:val="005E6B25"/>
    <w:rsid w:val="005F4F46"/>
    <w:rsid w:val="00637665"/>
    <w:rsid w:val="006A0AAF"/>
    <w:rsid w:val="006C60E6"/>
    <w:rsid w:val="006F508F"/>
    <w:rsid w:val="00713E3A"/>
    <w:rsid w:val="007A3B75"/>
    <w:rsid w:val="007B0740"/>
    <w:rsid w:val="007C1BAB"/>
    <w:rsid w:val="008648F6"/>
    <w:rsid w:val="00957EA6"/>
    <w:rsid w:val="00967C35"/>
    <w:rsid w:val="009B6A8C"/>
    <w:rsid w:val="009C6907"/>
    <w:rsid w:val="00A059BA"/>
    <w:rsid w:val="00A15CF7"/>
    <w:rsid w:val="00A24793"/>
    <w:rsid w:val="00A80B37"/>
    <w:rsid w:val="00A81248"/>
    <w:rsid w:val="00A95A60"/>
    <w:rsid w:val="00AF2A4E"/>
    <w:rsid w:val="00B703E9"/>
    <w:rsid w:val="00BE2BE4"/>
    <w:rsid w:val="00C06AC9"/>
    <w:rsid w:val="00C213D9"/>
    <w:rsid w:val="00C66528"/>
    <w:rsid w:val="00C74716"/>
    <w:rsid w:val="00C915F0"/>
    <w:rsid w:val="00D22573"/>
    <w:rsid w:val="00D26C99"/>
    <w:rsid w:val="00ED3080"/>
    <w:rsid w:val="00FB65B8"/>
    <w:rsid w:val="00FC49AE"/>
    <w:rsid w:val="00FD2FC3"/>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77C49"/>
  <w15:chartTrackingRefBased/>
  <w15:docId w15:val="{BCFAC3FB-328C-F44A-A53F-F1BC1B924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NormalWeb">
    <w:name w:val="Normal (Web)"/>
    <w:basedOn w:val="Normal"/>
    <w:uiPriority w:val="99"/>
    <w:semiHidden/>
    <w:unhideWhenUsed/>
    <w:rsid w:val="00C06AC9"/>
    <w:pPr>
      <w:spacing w:before="100" w:beforeAutospacing="1" w:after="100" w:afterAutospacing="1"/>
    </w:pPr>
    <w:rPr>
      <w:rFonts w:ascii="Times New Roman" w:eastAsia="Times New Roman" w:hAnsi="Times New Roman" w:cs="Times New Roman"/>
      <w:sz w:val="24"/>
      <w:lang w:val="en-ZA" w:eastAsia="en-GB"/>
    </w:rPr>
  </w:style>
  <w:style w:type="character" w:styleId="Strong">
    <w:name w:val="Strong"/>
    <w:basedOn w:val="DefaultParagraphFont"/>
    <w:uiPriority w:val="22"/>
    <w:qFormat/>
    <w:rsid w:val="00C06AC9"/>
    <w:rPr>
      <w:b/>
      <w:bCs/>
    </w:rPr>
  </w:style>
  <w:style w:type="character" w:styleId="Emphasis">
    <w:name w:val="Emphasis"/>
    <w:basedOn w:val="DefaultParagraphFont"/>
    <w:uiPriority w:val="20"/>
    <w:qFormat/>
    <w:rsid w:val="00C06AC9"/>
    <w:rPr>
      <w:i/>
      <w:iCs/>
    </w:rPr>
  </w:style>
  <w:style w:type="character" w:styleId="Hyperlink">
    <w:name w:val="Hyperlink"/>
    <w:basedOn w:val="DefaultParagraphFont"/>
    <w:uiPriority w:val="99"/>
    <w:semiHidden/>
    <w:unhideWhenUsed/>
    <w:rsid w:val="00C06A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w3.org/TR/2021/NOTE-coga-usable-20210429/"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ristian/Library/Containers/com.microsoft.Word/Data/Library/Application%20Support/Microsoft/Office/16.0/DTS/Search/%7bF3FDBC40-905A-4C40-B945-6E1794B4F4EB%7dtf11866446_win32.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3.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report.dotx</Template>
  <TotalTime>14</TotalTime>
  <Pages>5</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Hussein</dc:creator>
  <cp:keywords/>
  <dc:description/>
  <cp:lastModifiedBy>Christian Emungu Bulabula</cp:lastModifiedBy>
  <cp:revision>4</cp:revision>
  <dcterms:created xsi:type="dcterms:W3CDTF">2026-09-02T17:21:00Z</dcterms:created>
  <dcterms:modified xsi:type="dcterms:W3CDTF">2026-09-02T17:51:00Z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