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eastAsia"/>
                <w:sz w:val="21"/>
                <w:szCs w:val="21"/>
                <w:lang w:eastAsia="zh-CN"/>
              </w:rPr>
            </w:pPr>
            <w:r>
              <w:rPr>
                <w:rFonts w:ascii="宋体" w:eastAsia="宋体" w:hAnsi="宋体" w:cs="Courier New" w:hint="eastAsia"/>
                <w:color w:val="333333"/>
                <w:kern w:val="0"/>
                <w:sz w:val="21"/>
                <w:szCs w:val="21"/>
              </w:rPr>
              <w:t>2022/11/28</w:t>
            </w:r>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上线部署试运行</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编写用户手册,安装及维护手册</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文档走查</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用户培训</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编写项目结项报告</w:t>
            </w:r>
          </w:p>
          <w:p>
            <w:pPr>
              <w:widowControl/>
              <w:shd w:val="clear" w:color="auto" w:fill="FFFFFF"/>
              <w:spacing w:before="150"/>
              <w:jc w:val="left"/>
              <w:rPr>
                <w:rFonts w:ascii="宋体" w:eastAsia="宋体" w:hAnsi="宋体" w:cs="Courier New" w:hint="eastAsia"/>
                <w:color w:val="333333"/>
                <w:kern w:val="0"/>
                <w:sz w:val="21"/>
                <w:szCs w:val="21"/>
              </w:rPr>
            </w:pPr>
            <w:r>
              <w:rPr>
                <w:rFonts w:ascii="宋体" w:eastAsia="宋体" w:hAnsi="宋体" w:cs="Courier New" w:hint="eastAsia"/>
                <w:color w:val="333333"/>
                <w:kern w:val="0"/>
                <w:sz w:val="21"/>
                <w:szCs w:val="21"/>
              </w:rPr>
              <w:t>发布结项报告</w:t>
            </w:r>
          </w:p>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rPr>
              <w:t>运维移交</w:t>
            </w:r>
          </w:p>
        </w:tc>
      </w:tr>
      <w:tr>
        <w:tblPrEx>
          <w:tblW w:w="8813" w:type="dxa"/>
          <w:jc w:val="center"/>
          <w:tblCellMar>
            <w:top w:w="0" w:type="dxa"/>
            <w:left w:w="108" w:type="dxa"/>
            <w:bottom w:w="0" w:type="dxa"/>
            <w:right w:w="108" w:type="dxa"/>
          </w:tblCellMar>
        </w:tblPrEx>
        <w:trPr>
          <w:trHeight w:val="1284"/>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hint="eastAsia"/>
                <w:color w:val="333333"/>
                <w:sz w:val="21"/>
                <w:szCs w:val="21"/>
                <w:lang w:eastAsia="zh-CN"/>
              </w:rPr>
            </w:pPr>
            <w:r>
              <w:rPr>
                <w:rFonts w:ascii="宋体" w:eastAsia="宋体" w:hAnsi="宋体" w:hint="eastAsia"/>
                <w:color w:val="333333"/>
                <w:sz w:val="21"/>
                <w:szCs w:val="21"/>
                <w:lang w:val="en-US" w:eastAsia="zh-CN"/>
              </w:rPr>
              <w:t>无</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lang w:val="en-US" w:eastAsia="zh-CN"/>
              </w:rPr>
              <w:t>44</w:t>
            </w:r>
            <w:bookmarkStart w:id="0" w:name="_GoBack"/>
            <w:bookmarkEnd w:id="0"/>
            <w:r>
              <w:rPr>
                <w:rFonts w:ascii="inherit" w:hAnsi="inherit" w:hint="eastAsia"/>
                <w:color w:val="333333"/>
                <w:sz w:val="21"/>
                <w:szCs w:val="21"/>
              </w:rPr>
              <w:t>人</w:t>
            </w:r>
            <w:r>
              <w:rPr>
                <w:rFonts w:ascii="inherit" w:hAnsi="inherit"/>
                <w:color w:val="333333"/>
                <w:sz w:val="21"/>
                <w:szCs w:val="21"/>
              </w:rPr>
              <w:t>/</w:t>
            </w:r>
            <w:r>
              <w:rPr>
                <w:rFonts w:ascii="inherit" w:hAnsi="inherit" w:hint="eastAsia"/>
                <w:color w:val="333333"/>
                <w:sz w:val="21"/>
                <w:szCs w:val="21"/>
              </w:rPr>
              <w:t>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hint="eastAsia"/>
                <w:color w:val="333333"/>
                <w:sz w:val="21"/>
                <w:szCs w:val="21"/>
              </w:rPr>
              <w:t>74000</w:t>
            </w:r>
            <w:r>
              <w:rPr>
                <w:rFonts w:ascii="inherit" w:hAnsi="inherit" w:hint="eastAsia"/>
                <w:color w:val="333333"/>
                <w:sz w:val="21"/>
                <w:szCs w:val="21"/>
                <w:lang w:val="en-US" w:eastAsia="zh-CN"/>
              </w:rPr>
              <w:t>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按期完成</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13</cp:revision>
  <dcterms:created xsi:type="dcterms:W3CDTF">2020-10-27T10:28:00Z</dcterms:created>
  <dcterms:modified xsi:type="dcterms:W3CDTF">2021-08-19T03:06:55Z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