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0F3D2E"/>
          <w:spacing w:val="24"/>
          <w:sz w:val="24"/>
          <w:szCs w:val="24"/>
        </w:rPr>
        <w:t xml:space="preserve">SMART ASSESS JA</w:t>
      </w:r>
    </w:p>
    <w:p>
      <w:pPr>
        <w:spacing w:after="500"/>
        <w:jc w:val="center"/>
      </w:pPr>
      <w:r>
        <w:rPr>
          <w:i/>
          <w:iCs/>
          <w:color w:val="55605A"/>
          <w:sz w:val="20"/>
          <w:szCs w:val="20"/>
        </w:rPr>
        <w:t xml:space="preserve">Smarter assessments. Better learning.</w:t>
      </w:r>
    </w:p>
    <w:p>
      <w:pPr>
        <w:spacing w:after="60"/>
        <w:jc w:val="center"/>
      </w:pPr>
      <w:r>
        <w:rPr>
          <w:b/>
          <w:bCs/>
          <w:color w:val="121815"/>
          <w:sz w:val="52"/>
          <w:szCs w:val="52"/>
        </w:rPr>
        <w:t xml:space="preserve">BUSINESS PLAN</w:t>
      </w:r>
    </w:p>
    <w:p>
      <w:pPr>
        <w:spacing w:after="700"/>
        <w:jc w:val="center"/>
      </w:pPr>
      <w:r>
        <w:rPr>
          <w:color w:val="55605A"/>
          <w:sz w:val="22"/>
          <w:szCs w:val="22"/>
        </w:rPr>
        <w:t xml:space="preserve">Pre-Seed Stage — August 2026</w:t>
      </w:r>
    </w:p>
    <w:p>
      <w:pPr>
        <w:spacing w:after="40"/>
        <w:jc w:val="center"/>
      </w:pPr>
      <w:r>
        <w:rPr>
          <w:color w:val="121815"/>
          <w:sz w:val="20"/>
          <w:szCs w:val="20"/>
        </w:rPr>
        <w:t xml:space="preserve">Prepared by Steven Gordon, Founder</w:t>
      </w:r>
    </w:p>
    <w:p>
      <w:pPr>
        <w:spacing w:after="900"/>
        <w:jc w:val="center"/>
      </w:pPr>
      <w:r>
        <w:rPr>
          <w:color w:val="55605A"/>
          <w:sz w:val="18"/>
          <w:szCs w:val="18"/>
        </w:rPr>
        <w:t xml:space="preserve">sales@smartassessja.com   ·   smartassessja.com</w:t>
      </w:r>
    </w:p>
    <w:p>
      <w:pPr>
        <w:jc w:val="center"/>
      </w:pPr>
      <w:r>
        <w:rPr>
          <w:b/>
          <w:bCs/>
          <w:color w:val="8A5A2B"/>
          <w:spacing w:val="20"/>
          <w:sz w:val="16"/>
          <w:szCs w:val="16"/>
        </w:rPr>
        <w:t xml:space="preserve">CONFIDENTIAL</w:t>
      </w:r>
    </w:p>
    <w:p>
      <w:pPr>
        <w:spacing w:after="100"/>
        <w:jc w:val="center"/>
      </w:pPr>
      <w:r>
        <w:rPr>
          <w:i/>
          <w:iCs/>
          <w:color w:val="55605A"/>
          <w:sz w:val="15"/>
          <w:szCs w:val="15"/>
        </w:rPr>
        <w:t xml:space="preserve">Prepared for prospective funders and grant reviewers. Not for public distribution.</w:t>
      </w:r>
    </w:p>
    <w:p>
      <w:pPr>
        <w:sectPr>
          <w:pgSz w:w="12240" w:h="15840" w:orient="portrait"/>
          <w:pgMar w:top="1440" w:right="1080" w:bottom="1440" w:left="1080" w:header="708" w:footer="708" w:gutter="0"/>
          <w:pgNumType/>
          <w:docGrid w:linePitch="360"/>
        </w:sectPr>
      </w:pPr>
    </w:p>
    <w:p>
      <w:pPr>
        <w:pBdr>
          <w:bottom w:val="single" w:color="0F3D2E" w:sz="6" w:space="6"/>
        </w:pBdr>
        <w:spacing w:after="160" w:before="440"/>
      </w:pPr>
      <w:r>
        <w:rPr>
          <w:b/>
          <w:bCs/>
          <w:color w:val="8A5A2B"/>
          <w:sz w:val="26"/>
          <w:szCs w:val="26"/>
        </w:rPr>
        <w:t xml:space="preserve">1  </w:t>
      </w:r>
      <w:r>
        <w:rPr>
          <w:b/>
          <w:bCs/>
          <w:caps/>
          <w:color w:val="0F3D2E"/>
          <w:spacing w:val="10"/>
          <w:sz w:val="26"/>
          <w:szCs w:val="26"/>
        </w:rPr>
        <w:t xml:space="preserve">Executive Summary</w:t>
      </w:r>
    </w:p>
    <w:p>
      <w:pPr>
        <w:spacing w:after="160"/>
      </w:pPr>
      <w:r>
        <w:rPr>
          <w:sz w:val="21"/>
          <w:szCs w:val="21"/>
        </w:rPr>
        <w:t xml:space="preserve">Smart Assess Ja is a live, operating exam and assessment platform purpose-built for Jamaican secondary schools. It replaces the paper-based, manually-marked exam process most schools still run with one secure, affordable, digital system — covering everything from a five-minute pop quiz to a full formal end-of-year exam.</w:t>
      </w:r>
    </w:p>
    <w:p>
      <w:pPr>
        <w:spacing w:after="160"/>
      </w:pPr>
      <w:r>
        <w:rPr>
          <w:sz w:val="21"/>
          <w:szCs w:val="21"/>
        </w:rPr>
        <w:t xml:space="preserve">Jamaica's schools already have a strong, established culture of formal assessment, anchored by CSEC and CAPE. What is missing is affordable, purpose-built software behind it. International platforms such as exam.net price around US$25 per student per year — well outside what most local schools can budget. Smart Assess Ja is priced for the market it actually serves, starting at US$10.00 per student per year and falling as a school grows.</w:t>
      </w:r>
    </w:p>
    <w:p>
      <w:pPr>
        <w:spacing w:after="160"/>
      </w:pPr>
      <w:r>
        <w:rPr>
          <w:sz w:val="21"/>
          <w:szCs w:val="21"/>
        </w:rPr>
        <w:t xml:space="preserve">The platform is not a concept or a prototype. It is built and operating end to end: five distinct role types (student, teacher, supervisor/head of department, school administrator, organization administrator), a configurable multi-stage review workflow, every common assessment format, built-in exam integrity tooling (fullscreen lock, tab-switch detection, single-device login, and a native desktop app with exam-lab kiosk mode), an accessibility accommodation any teacher can turn on, and AI used narrowly and responsibly — to assist teachers, never to grade or make integrity decisions on its own. The platform has been independently reviewed by three software engineers based in Jamaica, the United States, and Canada, and piloted hands-on by real teachers across the student, teacher, and supervisor portals.</w:t>
      </w:r>
    </w:p>
    <w:p>
      <w:pPr>
        <w:spacing w:after="160"/>
      </w:pPr>
      <w:r>
        <w:rPr>
          <w:sz w:val="21"/>
          <w:szCs w:val="21"/>
        </w:rPr>
        <w:t xml:space="preserve">Jamaica has roughly 470 secondary schools and an estimated 205,000 secondary students — a real, recurring market with no Caribbean-built competitor focused on formal, integrity-monitored, school-administered exam delivery. The closest adjacent player, EduFocal (JSE-listed), is built around a different job — consumer-paid exam prep for primary-level PEP students — and is currently in financial distress, not scaling into this space.</w:t>
      </w:r>
    </w:p>
    <w:p>
      <w:pPr>
        <w:spacing w:after="160"/>
      </w:pPr>
      <w:r>
        <w:rPr>
          <w:sz w:val="21"/>
          <w:szCs w:val="21"/>
        </w:rPr>
        <w:t xml:space="preserve">Smart Assess Ja is raising US$125,000 in pre-seed funding to fund approximately 15 months of runway, targeting 20 to 30 schools onboarded, recurring revenue established, and a validated model ready for wider Jamaican and Caribbean expansion.</w:t>
      </w:r>
    </w:p>
    <w:p>
      <w:pPr>
        <w:pBdr>
          <w:bottom w:val="single" w:color="0F3D2E" w:sz="6" w:space="6"/>
        </w:pBdr>
        <w:spacing w:after="160" w:before="440"/>
      </w:pPr>
      <w:r>
        <w:rPr>
          <w:b/>
          <w:bCs/>
          <w:color w:val="8A5A2B"/>
          <w:sz w:val="26"/>
          <w:szCs w:val="26"/>
        </w:rPr>
        <w:t xml:space="preserve">2  </w:t>
      </w:r>
      <w:r>
        <w:rPr>
          <w:b/>
          <w:bCs/>
          <w:caps/>
          <w:color w:val="0F3D2E"/>
          <w:spacing w:val="10"/>
          <w:sz w:val="26"/>
          <w:szCs w:val="26"/>
        </w:rPr>
        <w:t xml:space="preserve">Company Description</w:t>
      </w:r>
    </w:p>
    <w:p>
      <w:pPr>
        <w:spacing w:after="160"/>
      </w:pPr>
      <w:r>
        <w:rPr>
          <w:sz w:val="21"/>
          <w:szCs w:val="21"/>
        </w:rPr>
        <w:t xml:space="preserve">Smart Assess Ja is a Jamaica-built education technology venture providing secure, affordable exam and assessment infrastructure to secondary schools and organizations. The company is not yet formally incorporated; it currently operates under founder Steven Gordon, with incorporation planned ahead of closing this funding round.</w:t>
      </w:r>
    </w:p>
    <w:p>
      <w:pPr>
        <w:spacing w:after="160"/>
      </w:pPr>
      <w:r>
        <w:rPr>
          <w:sz w:val="21"/>
          <w:szCs w:val="21"/>
        </w:rPr>
        <w:t xml:space="preserve">The company is founder-led, pre-revenue, and pre-seed stage, with a fully built and live product already in use for demonstrations and pilot conversations with schools. Headquartered in Jamaica, the company's initial focus is the Jamaican secondary school market, with a stated path to wider Caribbean expansion once the model is validated locally.</w:t>
      </w:r>
    </w:p>
    <w:p>
      <w:pPr>
        <w:spacing w:after="100" w:before="260"/>
      </w:pPr>
      <w:r>
        <w:rPr>
          <w:b/>
          <w:bCs/>
          <w:color w:val="121815"/>
          <w:sz w:val="22"/>
          <w:szCs w:val="22"/>
        </w:rPr>
        <w:t xml:space="preserve">Mission</w:t>
      </w:r>
    </w:p>
    <w:p>
      <w:pPr>
        <w:spacing w:after="160"/>
      </w:pPr>
      <w:r>
        <w:rPr>
          <w:sz w:val="21"/>
          <w:szCs w:val="21"/>
        </w:rPr>
        <w:t xml:space="preserve">To give every Caribbean school secure, affordable, purpose-built assessment infrastructure — replacing paper, spreadsheets, and generic tools with one system built for the realities of the region it serves.</w:t>
      </w:r>
    </w:p>
    <w:p>
      <w:pPr>
        <w:pBdr>
          <w:bottom w:val="single" w:color="0F3D2E" w:sz="6" w:space="6"/>
        </w:pBdr>
        <w:spacing w:after="160" w:before="440"/>
      </w:pPr>
      <w:r>
        <w:rPr>
          <w:b/>
          <w:bCs/>
          <w:color w:val="8A5A2B"/>
          <w:sz w:val="26"/>
          <w:szCs w:val="26"/>
        </w:rPr>
        <w:t xml:space="preserve">3  </w:t>
      </w:r>
      <w:r>
        <w:rPr>
          <w:b/>
          <w:bCs/>
          <w:caps/>
          <w:color w:val="0F3D2E"/>
          <w:spacing w:val="10"/>
          <w:sz w:val="26"/>
          <w:szCs w:val="26"/>
        </w:rPr>
        <w:t xml:space="preserve">The Problem</w:t>
      </w:r>
    </w:p>
    <w:p>
      <w:pPr>
        <w:pStyle w:val="ListParagraph"/>
        <w:numPr>
          <w:ilvl w:val="0"/>
          <w:numId w:val="2"/>
        </w:numPr>
        <w:spacing w:after="90"/>
      </w:pPr>
      <w:r>
        <w:rPr>
          <w:sz w:val="21"/>
          <w:szCs w:val="21"/>
        </w:rPr>
        <w:t xml:space="preserve">Paper, start to finish. Creating, reviewing, printing, securing, and storing exam scripts by hand. Every step is slow and easy to get wrong.</w:t>
      </w:r>
    </w:p>
    <w:p>
      <w:pPr>
        <w:pStyle w:val="ListParagraph"/>
        <w:numPr>
          <w:ilvl w:val="0"/>
          <w:numId w:val="2"/>
        </w:numPr>
        <w:spacing w:after="90"/>
      </w:pPr>
      <w:r>
        <w:rPr>
          <w:sz w:val="21"/>
          <w:szCs w:val="21"/>
        </w:rPr>
        <w:t xml:space="preserve">Priced for markets that are not the Caribbean. International platforms charge in the neighborhood of US$25 per student. Most Jamaican schools cannot budget for that.</w:t>
      </w:r>
    </w:p>
    <w:p>
      <w:pPr>
        <w:pStyle w:val="ListParagraph"/>
        <w:numPr>
          <w:ilvl w:val="0"/>
          <w:numId w:val="2"/>
        </w:numPr>
        <w:spacing w:after="90"/>
      </w:pPr>
      <w:r>
        <w:rPr>
          <w:sz w:val="21"/>
          <w:szCs w:val="21"/>
        </w:rPr>
        <w:t xml:space="preserve">Online tools with no real integrity tooling. Most generic online test tools do little to stop a student from switching tabs, pasting an answer, or signing in from two devices at once.</w:t>
      </w:r>
    </w:p>
    <w:p>
      <w:pPr>
        <w:pStyle w:val="ListParagraph"/>
        <w:numPr>
          <w:ilvl w:val="0"/>
          <w:numId w:val="2"/>
        </w:numPr>
        <w:spacing w:after="90"/>
      </w:pPr>
      <w:r>
        <w:rPr>
          <w:sz w:val="21"/>
          <w:szCs w:val="21"/>
        </w:rPr>
        <w:t xml:space="preserve">No built-in accommodation. Students who need extra support, such as text-to-speech, are often left to manual, inconsistent workarounds.</w:t>
      </w:r>
    </w:p>
    <w:p>
      <w:pPr>
        <w:pBdr>
          <w:bottom w:val="single" w:color="0F3D2E" w:sz="6" w:space="6"/>
        </w:pBdr>
        <w:spacing w:after="160" w:before="440"/>
      </w:pPr>
      <w:r>
        <w:rPr>
          <w:b/>
          <w:bCs/>
          <w:color w:val="8A5A2B"/>
          <w:sz w:val="26"/>
          <w:szCs w:val="26"/>
        </w:rPr>
        <w:t xml:space="preserve">4  </w:t>
      </w:r>
      <w:r>
        <w:rPr>
          <w:b/>
          <w:bCs/>
          <w:caps/>
          <w:color w:val="0F3D2E"/>
          <w:spacing w:val="10"/>
          <w:sz w:val="26"/>
          <w:szCs w:val="26"/>
        </w:rPr>
        <w:t xml:space="preserve">Product &amp; Technology</w:t>
      </w:r>
    </w:p>
    <w:p>
      <w:pPr>
        <w:spacing w:after="100" w:before="260"/>
      </w:pPr>
      <w:r>
        <w:rPr>
          <w:b/>
          <w:bCs/>
          <w:color w:val="121815"/>
          <w:sz w:val="22"/>
          <w:szCs w:val="22"/>
        </w:rPr>
        <w:t xml:space="preserve">Platform overview</w:t>
      </w:r>
    </w:p>
    <w:p>
      <w:pPr>
        <w:spacing w:after="160"/>
      </w:pPr>
      <w:r>
        <w:rPr>
          <w:sz w:val="21"/>
          <w:szCs w:val="21"/>
        </w:rPr>
        <w:t xml:space="preserve">Smart Assess Ja supports five role types — student, teacher, supervisor/head of department, school administrator, and organization administrator — with a configurable review workflow that fits how each school actually operates: a teacher can publish directly to their own class, a supervisor can review and publish on a teacher's behalf, or a school can run a full multi-stage review (team lead creates, senior lead vets, supervisor publishes).</w:t>
      </w:r>
    </w:p>
    <w:p>
      <w:pPr>
        <w:spacing w:after="100" w:before="260"/>
      </w:pPr>
      <w:r>
        <w:rPr>
          <w:b/>
          <w:bCs/>
          <w:color w:val="121815"/>
          <w:sz w:val="22"/>
          <w:szCs w:val="22"/>
        </w:rPr>
        <w:t xml:space="preserve">Exam integrity and trust</w:t>
      </w:r>
    </w:p>
    <w:p>
      <w:pPr>
        <w:pStyle w:val="ListParagraph"/>
        <w:numPr>
          <w:ilvl w:val="0"/>
          <w:numId w:val="2"/>
        </w:numPr>
        <w:spacing w:after="90"/>
      </w:pPr>
      <w:r>
        <w:rPr>
          <w:sz w:val="21"/>
          <w:szCs w:val="21"/>
        </w:rPr>
        <w:t xml:space="preserve">Fullscreen and tab-switch detection during an exam session.</w:t>
      </w:r>
    </w:p>
    <w:p>
      <w:pPr>
        <w:pStyle w:val="ListParagraph"/>
        <w:numPr>
          <w:ilvl w:val="0"/>
          <w:numId w:val="2"/>
        </w:numPr>
        <w:spacing w:after="90"/>
      </w:pPr>
      <w:r>
        <w:rPr>
          <w:sz w:val="21"/>
          <w:szCs w:val="21"/>
        </w:rPr>
        <w:t xml:space="preserve">Single-device login — signing in elsewhere signs out the other session.</w:t>
      </w:r>
    </w:p>
    <w:p>
      <w:pPr>
        <w:pStyle w:val="ListParagraph"/>
        <w:numPr>
          <w:ilvl w:val="0"/>
          <w:numId w:val="2"/>
        </w:numPr>
        <w:spacing w:after="90"/>
      </w:pPr>
      <w:r>
        <w:rPr>
          <w:sz w:val="21"/>
          <w:szCs w:val="21"/>
        </w:rPr>
        <w:t xml:space="preserve">A native desktop app with exam-lab kiosk mode, including offline resilience: answers autosave locally and sync when the connection returns.</w:t>
      </w:r>
    </w:p>
    <w:p>
      <w:pPr>
        <w:pStyle w:val="ListParagraph"/>
        <w:numPr>
          <w:ilvl w:val="0"/>
          <w:numId w:val="2"/>
        </w:numPr>
        <w:spacing w:after="90"/>
      </w:pPr>
      <w:r>
        <w:rPr>
          <w:sz w:val="21"/>
          <w:szCs w:val="21"/>
        </w:rPr>
        <w:t xml:space="preserve">Row-level security enforced by the database itself, not just application code.</w:t>
      </w:r>
    </w:p>
    <w:p>
      <w:pPr>
        <w:pStyle w:val="ListParagraph"/>
        <w:numPr>
          <w:ilvl w:val="0"/>
          <w:numId w:val="2"/>
        </w:numPr>
        <w:spacing w:after="90"/>
      </w:pPr>
      <w:r>
        <w:rPr>
          <w:sz w:val="21"/>
          <w:szCs w:val="21"/>
        </w:rPr>
        <w:t xml:space="preserve">Mandatory two-factor authentication for every teacher, supervisor, and administrator account.</w:t>
      </w:r>
    </w:p>
    <w:p>
      <w:pPr>
        <w:pStyle w:val="ListParagraph"/>
        <w:numPr>
          <w:ilvl w:val="0"/>
          <w:numId w:val="2"/>
        </w:numPr>
        <w:spacing w:after="90"/>
      </w:pPr>
      <w:r>
        <w:rPr>
          <w:sz w:val="21"/>
          <w:szCs w:val="21"/>
        </w:rPr>
        <w:t xml:space="preserve">Each school's data lives in its own isolated environment, aligned with Jamaica's Data Protection Act.</w:t>
      </w:r>
    </w:p>
    <w:p>
      <w:pPr>
        <w:spacing w:after="100" w:before="260"/>
      </w:pPr>
      <w:r>
        <w:rPr>
          <w:b/>
          <w:bCs/>
          <w:color w:val="121815"/>
          <w:sz w:val="22"/>
          <w:szCs w:val="22"/>
        </w:rPr>
        <w:t xml:space="preserve">Accessibility</w:t>
      </w:r>
    </w:p>
    <w:p>
      <w:pPr>
        <w:spacing w:after="160"/>
      </w:pPr>
      <w:r>
        <w:rPr>
          <w:sz w:val="21"/>
          <w:szCs w:val="21"/>
        </w:rPr>
        <w:t xml:space="preserve">A text-to-speech accommodation any teacher can turn on for a student, with no separate software or extra cost.</w:t>
      </w:r>
    </w:p>
    <w:p>
      <w:pPr>
        <w:spacing w:after="100" w:before="260"/>
      </w:pPr>
      <w:r>
        <w:rPr>
          <w:b/>
          <w:bCs/>
          <w:color w:val="121815"/>
          <w:sz w:val="22"/>
          <w:szCs w:val="22"/>
        </w:rPr>
        <w:t xml:space="preserve">AI, used responsibly and cheaply</w:t>
      </w:r>
    </w:p>
    <w:p>
      <w:pPr>
        <w:spacing w:after="160"/>
      </w:pPr>
      <w:r>
        <w:rPr>
          <w:sz w:val="21"/>
          <w:szCs w:val="21"/>
        </w:rPr>
        <w:t xml:space="preserve">Teachers use AI to polish question wording and import questions directly from a PDF exam paper. A live help assistant answers questions for visitors and logged-in users. An optional AI second opinion assists staff reviewing flagged essay responses for possible AI-assisted writing — always advisory, never a final determination. Every AI suggestion is reviewed by a human before it is used; AI never grades a student and never makes an integrity decision on its own. Estimated AI spend is US$15 to US$30 per school per year.</w:t>
      </w:r>
    </w:p>
    <w:p>
      <w:pPr>
        <w:spacing w:after="100" w:before="260"/>
      </w:pPr>
      <w:r>
        <w:rPr>
          <w:b/>
          <w:bCs/>
          <w:color w:val="121815"/>
          <w:sz w:val="22"/>
          <w:szCs w:val="22"/>
        </w:rPr>
        <w:t xml:space="preserve">Lesson Plan Library</w:t>
      </w:r>
    </w:p>
    <w:p>
      <w:pPr>
        <w:spacing w:after="160"/>
      </w:pPr>
      <w:r>
        <w:rPr>
          <w:sz w:val="21"/>
          <w:szCs w:val="21"/>
        </w:rPr>
        <w:t xml:space="preserve">Teachers build lesson plans using the Ministry of Education's own National Standards Curriculum “5E” template (Engage, Explore, Explain, Elaborate, Evaluate), with an AI-assist button that drafts the full lesson body from a subject, grade, and topic, using the same reviewed-by-a-human, advisory-only AI pattern as the rest of the platform. Included automatically with every school at no additional charge. Both the per-school builder and a cross-school library, where teachers at different schools can browse and copy each other's published plans, are built and live today.</w:t>
      </w:r>
    </w:p>
    <w:p>
      <w:pPr>
        <w:spacing w:after="100" w:before="260"/>
      </w:pPr>
      <w:r>
        <w:rPr>
          <w:b/>
          <w:bCs/>
          <w:color w:val="121815"/>
          <w:sz w:val="22"/>
          <w:szCs w:val="22"/>
        </w:rPr>
        <w:t xml:space="preserve">Status</w:t>
      </w:r>
    </w:p>
    <w:p>
      <w:pPr>
        <w:spacing w:after="160"/>
      </w:pPr>
      <w:r>
        <w:rPr>
          <w:sz w:val="21"/>
          <w:szCs w:val="21"/>
        </w:rPr>
        <w:t xml:space="preserve">This is a live, operating platform, not a prototype. A public demo exam (five questions, real question types, math rendering, and the same timer and integrity monitoring students see) is available for any prospective school to try before committing to anything.</w:t>
      </w:r>
    </w:p>
    <w:p>
      <w:pPr>
        <w:pBdr>
          <w:bottom w:val="single" w:color="0F3D2E" w:sz="6" w:space="6"/>
        </w:pBdr>
        <w:spacing w:after="160" w:before="440"/>
      </w:pPr>
      <w:r>
        <w:rPr>
          <w:b/>
          <w:bCs/>
          <w:color w:val="8A5A2B"/>
          <w:sz w:val="26"/>
          <w:szCs w:val="26"/>
        </w:rPr>
        <w:t xml:space="preserve">5  </w:t>
      </w:r>
      <w:r>
        <w:rPr>
          <w:b/>
          <w:bCs/>
          <w:caps/>
          <w:color w:val="0F3D2E"/>
          <w:spacing w:val="10"/>
          <w:sz w:val="26"/>
          <w:szCs w:val="26"/>
        </w:rPr>
        <w:t xml:space="preserve">Market Opportunity</w:t>
      </w:r>
    </w:p>
    <w:p>
      <w:pPr>
        <w:spacing w:after="160"/>
      </w:pPr>
      <w:r>
        <w:rPr>
          <w:sz w:val="21"/>
          <w:szCs w:val="21"/>
        </w:rPr>
        <w:t xml:space="preserve">Jamaica's schools sit inside a strong existing exam culture, anchored by the region's own CSEC and CAPE examinations, so the habit of formal assessment is already there. What is missing is affordable, purpose-built software behind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F3D2E" w:val="clear"/>
            <w:tcMar>
              <w:top w:type="dxa" w:w="90"/>
              <w:left w:type="dxa" w:w="120"/>
              <w:bottom w:type="dxa" w:w="90"/>
              <w:right w:type="dxa" w:w="120"/>
            </w:tcMar>
            <w:vAlign w:val="center"/>
          </w:tcPr>
          <w:p>
            <w:r>
              <w:rPr>
                <w:b/>
                <w:bCs/>
                <w:caps/>
                <w:color w:val="FFFFFF"/>
                <w:spacing w:val="6"/>
                <w:sz w:val="17"/>
                <w:szCs w:val="17"/>
              </w:rPr>
              <w:t xml:space="preserve">Metric</w:t>
            </w:r>
          </w:p>
        </w:tc>
        <w:tc>
          <w:tcPr>
            <w:tcW w:type="dxa" w:w="5040"/>
            <w:shd w:fill="0F3D2E" w:val="clear"/>
            <w:tcMar>
              <w:top w:type="dxa" w:w="90"/>
              <w:left w:type="dxa" w:w="120"/>
              <w:bottom w:type="dxa" w:w="90"/>
              <w:right w:type="dxa" w:w="120"/>
            </w:tcMar>
            <w:vAlign w:val="center"/>
          </w:tcPr>
          <w:p>
            <w:r>
              <w:rPr>
                <w:b/>
                <w:bCs/>
                <w:caps/>
                <w:color w:val="FFFFFF"/>
                <w:spacing w:val="6"/>
                <w:sz w:val="17"/>
                <w:szCs w:val="17"/>
              </w:rPr>
              <w:t xml:space="preserve">Estimate</w:t>
            </w:r>
          </w:p>
        </w:tc>
      </w:tr>
      <w:tr>
        <w:tc>
          <w:tcPr>
            <w:tcW w:type="dxa" w:w="5040"/>
            <w:shd w:fill="FFFFFF" w:val="clear"/>
            <w:tcMar>
              <w:top w:type="dxa" w:w="80"/>
              <w:left w:type="dxa" w:w="120"/>
              <w:bottom w:type="dxa" w:w="80"/>
              <w:right w:type="dxa" w:w="120"/>
            </w:tcMar>
            <w:vAlign w:val="center"/>
          </w:tcPr>
          <w:p>
            <w:r>
              <w:rPr>
                <w:color w:val="121815"/>
                <w:sz w:val="19"/>
                <w:szCs w:val="19"/>
              </w:rPr>
              <w:t xml:space="preserve">Secondary schools in Jamaica</w:t>
            </w:r>
          </w:p>
        </w:tc>
        <w:tc>
          <w:tcPr>
            <w:tcW w:type="dxa" w:w="5040"/>
            <w:shd w:fill="FFFFFF" w:val="clear"/>
            <w:tcMar>
              <w:top w:type="dxa" w:w="80"/>
              <w:left w:type="dxa" w:w="120"/>
              <w:bottom w:type="dxa" w:w="80"/>
              <w:right w:type="dxa" w:w="120"/>
            </w:tcMar>
            <w:vAlign w:val="center"/>
          </w:tcPr>
          <w:p>
            <w:r>
              <w:rPr>
                <w:color w:val="121815"/>
                <w:sz w:val="19"/>
                <w:szCs w:val="19"/>
              </w:rPr>
              <w:t xml:space="preserve">~470</w:t>
            </w:r>
          </w:p>
        </w:tc>
      </w:tr>
      <w:tr>
        <w:tc>
          <w:tcPr>
            <w:tcW w:type="dxa" w:w="5040"/>
            <w:shd w:fill="F4F6F3" w:val="clear"/>
            <w:tcMar>
              <w:top w:type="dxa" w:w="80"/>
              <w:left w:type="dxa" w:w="120"/>
              <w:bottom w:type="dxa" w:w="80"/>
              <w:right w:type="dxa" w:w="120"/>
            </w:tcMar>
            <w:vAlign w:val="center"/>
          </w:tcPr>
          <w:p>
            <w:r>
              <w:rPr>
                <w:color w:val="121815"/>
                <w:sz w:val="19"/>
                <w:szCs w:val="19"/>
              </w:rPr>
              <w:t xml:space="preserve">Estimated secondary students nationwide</w:t>
            </w:r>
          </w:p>
        </w:tc>
        <w:tc>
          <w:tcPr>
            <w:tcW w:type="dxa" w:w="5040"/>
            <w:shd w:fill="F4F6F3" w:val="clear"/>
            <w:tcMar>
              <w:top w:type="dxa" w:w="80"/>
              <w:left w:type="dxa" w:w="120"/>
              <w:bottom w:type="dxa" w:w="80"/>
              <w:right w:type="dxa" w:w="120"/>
            </w:tcMar>
            <w:vAlign w:val="center"/>
          </w:tcPr>
          <w:p>
            <w:r>
              <w:rPr>
                <w:color w:val="121815"/>
                <w:sz w:val="19"/>
                <w:szCs w:val="19"/>
              </w:rPr>
              <w:t xml:space="preserve">~205,000</w:t>
            </w:r>
          </w:p>
        </w:tc>
      </w:tr>
      <w:tr>
        <w:tc>
          <w:tcPr>
            <w:tcW w:type="dxa" w:w="5040"/>
            <w:shd w:fill="FFFFFF" w:val="clear"/>
            <w:tcMar>
              <w:top w:type="dxa" w:w="80"/>
              <w:left w:type="dxa" w:w="120"/>
              <w:bottom w:type="dxa" w:w="80"/>
              <w:right w:type="dxa" w:w="120"/>
            </w:tcMar>
            <w:vAlign w:val="center"/>
          </w:tcPr>
          <w:p>
            <w:r>
              <w:rPr>
                <w:color w:val="121815"/>
                <w:sz w:val="19"/>
                <w:szCs w:val="19"/>
              </w:rPr>
              <w:t xml:space="preserve">International reference price point (exam.net)</w:t>
            </w:r>
          </w:p>
        </w:tc>
        <w:tc>
          <w:tcPr>
            <w:tcW w:type="dxa" w:w="5040"/>
            <w:shd w:fill="FFFFFF" w:val="clear"/>
            <w:tcMar>
              <w:top w:type="dxa" w:w="80"/>
              <w:left w:type="dxa" w:w="120"/>
              <w:bottom w:type="dxa" w:w="80"/>
              <w:right w:type="dxa" w:w="120"/>
            </w:tcMar>
            <w:vAlign w:val="center"/>
          </w:tcPr>
          <w:p>
            <w:r>
              <w:rPr>
                <w:color w:val="121815"/>
                <w:sz w:val="19"/>
                <w:szCs w:val="19"/>
              </w:rPr>
              <w:t xml:space="preserve">~US$25 / student / yr</w:t>
            </w:r>
          </w:p>
        </w:tc>
      </w:tr>
    </w:tbl>
    <w:p>
      <w:pPr>
        <w:spacing w:after="160"/>
      </w:pPr>
    </w:p>
    <w:p>
      <w:pPr>
        <w:pBdr>
          <w:top w:val="single" w:color="D9DED6" w:sz="2" w:space="6"/>
          <w:bottom w:val="single" w:color="D9DED6" w:sz="2" w:space="6"/>
          <w:left w:val="single" w:color="D9DED6" w:sz="2" w:space="6"/>
          <w:right w:val="single" w:color="D9DED6" w:sz="2" w:space="6"/>
        </w:pBdr>
        <w:shd w:fill="F4F6F3" w:val="clear"/>
        <w:spacing w:after="180" w:before="60"/>
      </w:pPr>
      <w:r>
        <w:rPr>
          <w:i/>
          <w:iCs/>
          <w:color w:val="55605A"/>
          <w:sz w:val="19"/>
          <w:szCs w:val="19"/>
        </w:rPr>
        <w:t xml:space="preserve">The student-population estimate is derived from EPDC (Education Policy and Data Center) national profile data (total primary + secondary enrollment, less primary share) and should be treated as a planning estimate rather than a precisely current figure.</w:t>
      </w:r>
    </w:p>
    <w:p>
      <w:pPr>
        <w:pBdr>
          <w:bottom w:val="single" w:color="0F3D2E" w:sz="6" w:space="6"/>
        </w:pBdr>
        <w:spacing w:after="160" w:before="440"/>
      </w:pPr>
      <w:r>
        <w:rPr>
          <w:b/>
          <w:bCs/>
          <w:color w:val="8A5A2B"/>
          <w:sz w:val="26"/>
          <w:szCs w:val="26"/>
        </w:rPr>
        <w:t xml:space="preserve">6  </w:t>
      </w:r>
      <w:r>
        <w:rPr>
          <w:b/>
          <w:bCs/>
          <w:caps/>
          <w:color w:val="0F3D2E"/>
          <w:spacing w:val="10"/>
          <w:sz w:val="26"/>
          <w:szCs w:val="26"/>
        </w:rPr>
        <w:t xml:space="preserve">Competitive Landscape</w:t>
      </w:r>
    </w:p>
    <w:p>
      <w:pPr>
        <w:spacing w:after="100" w:before="260"/>
      </w:pPr>
      <w:r>
        <w:rPr>
          <w:b/>
          <w:bCs/>
          <w:color w:val="121815"/>
          <w:sz w:val="22"/>
          <w:szCs w:val="22"/>
        </w:rPr>
        <w:t xml:space="preserve">exam.net and international platforms</w:t>
      </w:r>
    </w:p>
    <w:p>
      <w:pPr>
        <w:spacing w:after="160"/>
      </w:pPr>
      <w:r>
        <w:rPr>
          <w:sz w:val="21"/>
          <w:szCs w:val="21"/>
        </w:rPr>
        <w:t xml:space="preserve">General-purpose international exam platforms exist, but price around US$25 per student per year — roughly 2.5x Smart Assess Ja's entry rate — and are not built around the specific realities of Jamaican schools.</w:t>
      </w:r>
    </w:p>
    <w:p>
      <w:pPr>
        <w:spacing w:after="100" w:before="260"/>
      </w:pPr>
      <w:r>
        <w:rPr>
          <w:b/>
          <w:bCs/>
          <w:color w:val="121815"/>
          <w:sz w:val="22"/>
          <w:szCs w:val="22"/>
        </w:rPr>
        <w:t xml:space="preserve">EduFocal / Quizzative (JSE-listed)</w:t>
      </w:r>
    </w:p>
    <w:p>
      <w:pPr>
        <w:spacing w:after="160"/>
      </w:pPr>
      <w:r>
        <w:rPr>
          <w:sz w:val="21"/>
          <w:szCs w:val="21"/>
        </w:rPr>
        <w:t xml:space="preserve">EduFocal is the other notable Jamaica-built edtech company, but it is built around a different job. EduFocal Academy is a self-directed, consumer-paid PEP exam-prep product for grades 4 to 6, not a school-administered secondary exam platform. Its newer Quizzative tool lets educators build online quizzes and reaches into secondary schools, making it the closest adjacent player, but it is not built around the formal, integrity-monitored, school-wide exam delivery Smart Assess Ja provides.</w:t>
      </w:r>
    </w:p>
    <w:p>
      <w:pPr>
        <w:spacing w:after="160"/>
      </w:pPr>
      <w:r>
        <w:rPr>
          <w:sz w:val="21"/>
          <w:szCs w:val="21"/>
        </w:rPr>
        <w:t xml:space="preserve">EduFocal is also a company currently retrenching, not scaling: 2025 revenue fell 28% year over year, then a further 53% in Q1 2026, against a shareholders' equity deficit and roughly J$104,000 in cash at last report, alongside a public rebrand (to “Walstron Limited”) and an expanded mandate into unrelated industries outside education.</w:t>
      </w:r>
    </w:p>
    <w:p>
      <w:pPr>
        <w:spacing w:after="100" w:before="260"/>
      </w:pPr>
      <w:r>
        <w:rPr>
          <w:b/>
          <w:bCs/>
          <w:color w:val="121815"/>
          <w:sz w:val="22"/>
          <w:szCs w:val="22"/>
        </w:rPr>
        <w:t xml:space="preserve">Positioning</w:t>
      </w:r>
    </w:p>
    <w:p>
      <w:pPr>
        <w:spacing w:after="160"/>
      </w:pPr>
      <w:r>
        <w:rPr>
          <w:sz w:val="21"/>
          <w:szCs w:val="21"/>
        </w:rPr>
        <w:t xml:space="preserve">Smart Assess Ja is the only Jamaica-built platform purpose-built for formal, integrity-monitored, school-administered secondary exams, priced specifically for what local schools can budget.</w:t>
      </w:r>
    </w:p>
    <w:p>
      <w:pPr>
        <w:pBdr>
          <w:bottom w:val="single" w:color="0F3D2E" w:sz="6" w:space="6"/>
        </w:pBdr>
        <w:spacing w:after="160" w:before="440"/>
      </w:pPr>
      <w:r>
        <w:rPr>
          <w:b/>
          <w:bCs/>
          <w:color w:val="8A5A2B"/>
          <w:sz w:val="26"/>
          <w:szCs w:val="26"/>
        </w:rPr>
        <w:t xml:space="preserve">7  </w:t>
      </w:r>
      <w:r>
        <w:rPr>
          <w:b/>
          <w:bCs/>
          <w:caps/>
          <w:color w:val="0F3D2E"/>
          <w:spacing w:val="10"/>
          <w:sz w:val="26"/>
          <w:szCs w:val="26"/>
        </w:rPr>
        <w:t xml:space="preserve">Business Model &amp;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F3D2E" w:val="clear"/>
            <w:tcMar>
              <w:top w:type="dxa" w:w="90"/>
              <w:left w:type="dxa" w:w="120"/>
              <w:bottom w:type="dxa" w:w="90"/>
              <w:right w:type="dxa" w:w="120"/>
            </w:tcMar>
            <w:vAlign w:val="center"/>
          </w:tcPr>
          <w:p>
            <w:r>
              <w:rPr>
                <w:b/>
                <w:bCs/>
                <w:caps/>
                <w:color w:val="FFFFFF"/>
                <w:spacing w:val="6"/>
                <w:sz w:val="17"/>
                <w:szCs w:val="17"/>
              </w:rPr>
              <w:t xml:space="preserve">Item</w:t>
            </w:r>
          </w:p>
        </w:tc>
        <w:tc>
          <w:tcPr>
            <w:tcW w:type="dxa" w:w="3360"/>
            <w:shd w:fill="0F3D2E" w:val="clear"/>
            <w:tcMar>
              <w:top w:type="dxa" w:w="90"/>
              <w:left w:type="dxa" w:w="120"/>
              <w:bottom w:type="dxa" w:w="90"/>
              <w:right w:type="dxa" w:w="120"/>
            </w:tcMar>
            <w:vAlign w:val="center"/>
          </w:tcPr>
          <w:p>
            <w:r>
              <w:rPr>
                <w:b/>
                <w:bCs/>
                <w:caps/>
                <w:color w:val="FFFFFF"/>
                <w:spacing w:val="6"/>
                <w:sz w:val="17"/>
                <w:szCs w:val="17"/>
              </w:rPr>
              <w:t xml:space="preserve">Rate</w:t>
            </w:r>
          </w:p>
        </w:tc>
        <w:tc>
          <w:tcPr>
            <w:tcW w:type="dxa" w:w="3360"/>
            <w:shd w:fill="0F3D2E" w:val="clear"/>
            <w:tcMar>
              <w:top w:type="dxa" w:w="90"/>
              <w:left w:type="dxa" w:w="120"/>
              <w:bottom w:type="dxa" w:w="90"/>
              <w:right w:type="dxa" w:w="120"/>
            </w:tcMar>
            <w:vAlign w:val="center"/>
          </w:tcPr>
          <w:p>
            <w:r>
              <w:rPr>
                <w:b/>
                <w:bCs/>
                <w:caps/>
                <w:color w:val="FFFFFF"/>
                <w:spacing w:val="6"/>
                <w:sz w:val="17"/>
                <w:szCs w:val="17"/>
              </w:rPr>
              <w:t xml:space="preserve">Notes</w:t>
            </w:r>
          </w:p>
        </w:tc>
      </w:tr>
      <w:tr>
        <w:tc>
          <w:tcPr>
            <w:tcW w:type="dxa" w:w="3360"/>
            <w:shd w:fill="FFFFFF" w:val="clear"/>
            <w:tcMar>
              <w:top w:type="dxa" w:w="80"/>
              <w:left w:type="dxa" w:w="120"/>
              <w:bottom w:type="dxa" w:w="80"/>
              <w:right w:type="dxa" w:w="120"/>
            </w:tcMar>
            <w:vAlign w:val="center"/>
          </w:tcPr>
          <w:p>
            <w:r>
              <w:rPr>
                <w:color w:val="121815"/>
                <w:sz w:val="19"/>
                <w:szCs w:val="19"/>
              </w:rPr>
              <w:t xml:space="preserve">Onboarding</w:t>
            </w:r>
          </w:p>
        </w:tc>
        <w:tc>
          <w:tcPr>
            <w:tcW w:type="dxa" w:w="3360"/>
            <w:shd w:fill="FFFFFF" w:val="clear"/>
            <w:tcMar>
              <w:top w:type="dxa" w:w="80"/>
              <w:left w:type="dxa" w:w="120"/>
              <w:bottom w:type="dxa" w:w="80"/>
              <w:right w:type="dxa" w:w="120"/>
            </w:tcMar>
            <w:vAlign w:val="center"/>
          </w:tcPr>
          <w:p>
            <w:r>
              <w:rPr>
                <w:color w:val="121815"/>
                <w:sz w:val="19"/>
                <w:szCs w:val="19"/>
              </w:rPr>
              <w:t xml:space="preserve">$680 one-time</w:t>
            </w:r>
          </w:p>
        </w:tc>
        <w:tc>
          <w:tcPr>
            <w:tcW w:type="dxa" w:w="3360"/>
            <w:shd w:fill="FFFFFF" w:val="clear"/>
            <w:tcMar>
              <w:top w:type="dxa" w:w="80"/>
              <w:left w:type="dxa" w:w="120"/>
              <w:bottom w:type="dxa" w:w="80"/>
              <w:right w:type="dxa" w:w="120"/>
            </w:tcMar>
            <w:vAlign w:val="center"/>
          </w:tcPr>
          <w:p>
            <w:r>
              <w:rPr>
                <w:color w:val="121815"/>
                <w:sz w:val="19"/>
                <w:szCs w:val="19"/>
              </w:rPr>
              <w:t xml:space="preserve">Covers setup and first-year account provisioning</w:t>
            </w:r>
          </w:p>
        </w:tc>
      </w:tr>
      <w:tr>
        <w:tc>
          <w:tcPr>
            <w:tcW w:type="dxa" w:w="3360"/>
            <w:shd w:fill="F4F6F3" w:val="clear"/>
            <w:tcMar>
              <w:top w:type="dxa" w:w="80"/>
              <w:left w:type="dxa" w:w="120"/>
              <w:bottom w:type="dxa" w:w="80"/>
              <w:right w:type="dxa" w:w="120"/>
            </w:tcMar>
            <w:vAlign w:val="center"/>
          </w:tcPr>
          <w:p>
            <w:r>
              <w:rPr>
                <w:color w:val="121815"/>
                <w:sz w:val="19"/>
                <w:szCs w:val="19"/>
              </w:rPr>
              <w:t xml:space="preserve">1 to 500 students</w:t>
            </w:r>
          </w:p>
        </w:tc>
        <w:tc>
          <w:tcPr>
            <w:tcW w:type="dxa" w:w="3360"/>
            <w:shd w:fill="F4F6F3" w:val="clear"/>
            <w:tcMar>
              <w:top w:type="dxa" w:w="80"/>
              <w:left w:type="dxa" w:w="120"/>
              <w:bottom w:type="dxa" w:w="80"/>
              <w:right w:type="dxa" w:w="120"/>
            </w:tcMar>
            <w:vAlign w:val="center"/>
          </w:tcPr>
          <w:p>
            <w:r>
              <w:rPr>
                <w:color w:val="121815"/>
                <w:sz w:val="19"/>
                <w:szCs w:val="19"/>
              </w:rPr>
              <w:t xml:space="preserve">$10.00 / student / yr</w:t>
            </w:r>
          </w:p>
        </w:tc>
        <w:tc>
          <w:tcPr>
            <w:tcW w:type="dxa" w:w="3360"/>
            <w:shd w:fill="F4F6F3" w:val="clear"/>
            <w:tcMar>
              <w:top w:type="dxa" w:w="80"/>
              <w:left w:type="dxa" w:w="120"/>
              <w:bottom w:type="dxa" w:w="80"/>
              <w:right w:type="dxa" w:w="120"/>
            </w:tcMar>
            <w:vAlign w:val="center"/>
          </w:tcPr>
          <w:p>
            <w:r>
              <w:rPr>
                <w:color w:val="121815"/>
                <w:sz w:val="19"/>
                <w:szCs w:val="19"/>
              </w:rPr>
              <w:t xml:space="preserve"/>
            </w:r>
          </w:p>
        </w:tc>
      </w:tr>
      <w:tr>
        <w:tc>
          <w:tcPr>
            <w:tcW w:type="dxa" w:w="3360"/>
            <w:shd w:fill="FFFFFF" w:val="clear"/>
            <w:tcMar>
              <w:top w:type="dxa" w:w="80"/>
              <w:left w:type="dxa" w:w="120"/>
              <w:bottom w:type="dxa" w:w="80"/>
              <w:right w:type="dxa" w:w="120"/>
            </w:tcMar>
            <w:vAlign w:val="center"/>
          </w:tcPr>
          <w:p>
            <w:r>
              <w:rPr>
                <w:color w:val="121815"/>
                <w:sz w:val="19"/>
                <w:szCs w:val="19"/>
              </w:rPr>
              <w:t xml:space="preserve">501 to 1,000 students</w:t>
            </w:r>
          </w:p>
        </w:tc>
        <w:tc>
          <w:tcPr>
            <w:tcW w:type="dxa" w:w="3360"/>
            <w:shd w:fill="FFFFFF" w:val="clear"/>
            <w:tcMar>
              <w:top w:type="dxa" w:w="80"/>
              <w:left w:type="dxa" w:w="120"/>
              <w:bottom w:type="dxa" w:w="80"/>
              <w:right w:type="dxa" w:w="120"/>
            </w:tcMar>
            <w:vAlign w:val="center"/>
          </w:tcPr>
          <w:p>
            <w:r>
              <w:rPr>
                <w:color w:val="121815"/>
                <w:sz w:val="19"/>
                <w:szCs w:val="19"/>
              </w:rPr>
              <w:t xml:space="preserve">$8.25 / student / yr</w:t>
            </w:r>
          </w:p>
        </w:tc>
        <w:tc>
          <w:tcPr>
            <w:tcW w:type="dxa" w:w="3360"/>
            <w:shd w:fill="FFFFFF" w:val="clear"/>
            <w:tcMar>
              <w:top w:type="dxa" w:w="80"/>
              <w:left w:type="dxa" w:w="120"/>
              <w:bottom w:type="dxa" w:w="80"/>
              <w:right w:type="dxa" w:w="120"/>
            </w:tcMar>
            <w:vAlign w:val="center"/>
          </w:tcPr>
          <w:p>
            <w:r>
              <w:rPr>
                <w:color w:val="121815"/>
                <w:sz w:val="19"/>
                <w:szCs w:val="19"/>
              </w:rPr>
              <w:t xml:space="preserve"/>
            </w:r>
          </w:p>
        </w:tc>
      </w:tr>
      <w:tr>
        <w:tc>
          <w:tcPr>
            <w:tcW w:type="dxa" w:w="3360"/>
            <w:shd w:fill="F4F6F3" w:val="clear"/>
            <w:tcMar>
              <w:top w:type="dxa" w:w="80"/>
              <w:left w:type="dxa" w:w="120"/>
              <w:bottom w:type="dxa" w:w="80"/>
              <w:right w:type="dxa" w:w="120"/>
            </w:tcMar>
            <w:vAlign w:val="center"/>
          </w:tcPr>
          <w:p>
            <w:r>
              <w:rPr>
                <w:color w:val="121815"/>
                <w:sz w:val="19"/>
                <w:szCs w:val="19"/>
              </w:rPr>
              <w:t xml:space="preserve">1,000+ students</w:t>
            </w:r>
          </w:p>
        </w:tc>
        <w:tc>
          <w:tcPr>
            <w:tcW w:type="dxa" w:w="3360"/>
            <w:shd w:fill="F4F6F3" w:val="clear"/>
            <w:tcMar>
              <w:top w:type="dxa" w:w="80"/>
              <w:left w:type="dxa" w:w="120"/>
              <w:bottom w:type="dxa" w:w="80"/>
              <w:right w:type="dxa" w:w="120"/>
            </w:tcMar>
            <w:vAlign w:val="center"/>
          </w:tcPr>
          <w:p>
            <w:r>
              <w:rPr>
                <w:color w:val="121815"/>
                <w:sz w:val="19"/>
                <w:szCs w:val="19"/>
              </w:rPr>
              <w:t xml:space="preserve">$6.25 / student / yr</w:t>
            </w:r>
          </w:p>
        </w:tc>
        <w:tc>
          <w:tcPr>
            <w:tcW w:type="dxa" w:w="3360"/>
            <w:shd w:fill="F4F6F3" w:val="clear"/>
            <w:tcMar>
              <w:top w:type="dxa" w:w="80"/>
              <w:left w:type="dxa" w:w="120"/>
              <w:bottom w:type="dxa" w:w="80"/>
              <w:right w:type="dxa" w:w="120"/>
            </w:tcMar>
            <w:vAlign w:val="center"/>
          </w:tcPr>
          <w:p>
            <w:r>
              <w:rPr>
                <w:color w:val="121815"/>
                <w:sz w:val="19"/>
                <w:szCs w:val="19"/>
              </w:rPr>
              <w:t xml:space="preserve"/>
            </w:r>
          </w:p>
        </w:tc>
      </w:tr>
      <w:tr>
        <w:tc>
          <w:tcPr>
            <w:tcW w:type="dxa" w:w="3360"/>
            <w:shd w:fill="FFFFFF" w:val="clear"/>
            <w:tcMar>
              <w:top w:type="dxa" w:w="80"/>
              <w:left w:type="dxa" w:w="120"/>
              <w:bottom w:type="dxa" w:w="80"/>
              <w:right w:type="dxa" w:w="120"/>
            </w:tcMar>
            <w:vAlign w:val="center"/>
          </w:tcPr>
          <w:p>
            <w:r>
              <w:rPr>
                <w:color w:val="121815"/>
                <w:sz w:val="19"/>
                <w:szCs w:val="19"/>
              </w:rPr>
              <w:t xml:space="preserve">Minimum annual fee</w:t>
            </w:r>
          </w:p>
        </w:tc>
        <w:tc>
          <w:tcPr>
            <w:tcW w:type="dxa" w:w="3360"/>
            <w:shd w:fill="FFFFFF" w:val="clear"/>
            <w:tcMar>
              <w:top w:type="dxa" w:w="80"/>
              <w:left w:type="dxa" w:w="120"/>
              <w:bottom w:type="dxa" w:w="80"/>
              <w:right w:type="dxa" w:w="120"/>
            </w:tcMar>
            <w:vAlign w:val="center"/>
          </w:tcPr>
          <w:p>
            <w:r>
              <w:rPr>
                <w:color w:val="121815"/>
                <w:sz w:val="19"/>
                <w:szCs w:val="19"/>
              </w:rPr>
              <w:t xml:space="preserve">$1,250 / yr</w:t>
            </w:r>
          </w:p>
        </w:tc>
        <w:tc>
          <w:tcPr>
            <w:tcW w:type="dxa" w:w="3360"/>
            <w:shd w:fill="FFFFFF" w:val="clear"/>
            <w:tcMar>
              <w:top w:type="dxa" w:w="80"/>
              <w:left w:type="dxa" w:w="120"/>
              <w:bottom w:type="dxa" w:w="80"/>
              <w:right w:type="dxa" w:w="120"/>
            </w:tcMar>
            <w:vAlign w:val="center"/>
          </w:tcPr>
          <w:p>
            <w:r>
              <w:rPr>
                <w:color w:val="121815"/>
                <w:sz w:val="19"/>
                <w:szCs w:val="19"/>
              </w:rPr>
              <w:t xml:space="preserve">Protects margin below 125 students</w:t>
            </w:r>
          </w:p>
        </w:tc>
      </w:tr>
    </w:tbl>
    <w:p>
      <w:pPr>
        <w:spacing w:after="160"/>
      </w:pPr>
    </w:p>
    <w:p>
      <w:pPr>
        <w:spacing w:after="160"/>
      </w:pPr>
    </w:p>
    <w:p>
      <w:pPr>
        <w:spacing w:after="160"/>
      </w:pPr>
      <w:r>
        <w:rPr>
          <w:sz w:val="21"/>
          <w:szCs w:val="21"/>
        </w:rPr>
        <w:t xml:space="preserve">Real infrastructure cost per school runs roughly $330 to $390 per year today, driven almost entirely by one line item (a per-school database), and converges toward roughly $325 as more schools come on. AI spend is a rounding error against that — this is a business that gets structurally more profitable per customer as it scales, not less.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F3D2E" w:val="clear"/>
            <w:tcMar>
              <w:top w:type="dxa" w:w="90"/>
              <w:left w:type="dxa" w:w="120"/>
              <w:bottom w:type="dxa" w:w="90"/>
              <w:right w:type="dxa" w:w="120"/>
            </w:tcMar>
            <w:vAlign w:val="center"/>
          </w:tcPr>
          <w:p>
            <w:r>
              <w:rPr>
                <w:b/>
                <w:bCs/>
                <w:caps/>
                <w:color w:val="FFFFFF"/>
                <w:spacing w:val="6"/>
                <w:sz w:val="17"/>
                <w:szCs w:val="17"/>
              </w:rPr>
              <w:t xml:space="preserve">School size</w:t>
            </w:r>
          </w:p>
        </w:tc>
        <w:tc>
          <w:tcPr>
            <w:tcW w:type="dxa" w:w="5040"/>
            <w:shd w:fill="0F3D2E" w:val="clear"/>
            <w:tcMar>
              <w:top w:type="dxa" w:w="90"/>
              <w:left w:type="dxa" w:w="120"/>
              <w:bottom w:type="dxa" w:w="90"/>
              <w:right w:type="dxa" w:w="120"/>
            </w:tcMar>
            <w:vAlign w:val="center"/>
          </w:tcPr>
          <w:p>
            <w:r>
              <w:rPr>
                <w:b/>
                <w:bCs/>
                <w:caps/>
                <w:color w:val="FFFFFF"/>
                <w:spacing w:val="6"/>
                <w:sz w:val="17"/>
                <w:szCs w:val="17"/>
              </w:rPr>
              <w:t xml:space="preserve">Approx. gross margin</w:t>
            </w:r>
          </w:p>
        </w:tc>
      </w:tr>
      <w:tr>
        <w:tc>
          <w:tcPr>
            <w:tcW w:type="dxa" w:w="5040"/>
            <w:shd w:fill="FFFFFF" w:val="clear"/>
            <w:tcMar>
              <w:top w:type="dxa" w:w="80"/>
              <w:left w:type="dxa" w:w="120"/>
              <w:bottom w:type="dxa" w:w="80"/>
              <w:right w:type="dxa" w:w="120"/>
            </w:tcMar>
            <w:vAlign w:val="center"/>
          </w:tcPr>
          <w:p>
            <w:r>
              <w:rPr>
                <w:color w:val="121815"/>
                <w:sz w:val="19"/>
                <w:szCs w:val="19"/>
              </w:rPr>
              <w:t xml:space="preserve">50 students</w:t>
            </w:r>
          </w:p>
        </w:tc>
        <w:tc>
          <w:tcPr>
            <w:tcW w:type="dxa" w:w="5040"/>
            <w:shd w:fill="FFFFFF" w:val="clear"/>
            <w:tcMar>
              <w:top w:type="dxa" w:w="80"/>
              <w:left w:type="dxa" w:w="120"/>
              <w:bottom w:type="dxa" w:w="80"/>
              <w:right w:type="dxa" w:w="120"/>
            </w:tcMar>
            <w:vAlign w:val="center"/>
          </w:tcPr>
          <w:p>
            <w:r>
              <w:rPr>
                <w:color w:val="121815"/>
                <w:sz w:val="19"/>
                <w:szCs w:val="19"/>
              </w:rPr>
              <w:t xml:space="preserve">72%</w:t>
            </w:r>
          </w:p>
        </w:tc>
      </w:tr>
      <w:tr>
        <w:tc>
          <w:tcPr>
            <w:tcW w:type="dxa" w:w="5040"/>
            <w:shd w:fill="F4F6F3" w:val="clear"/>
            <w:tcMar>
              <w:top w:type="dxa" w:w="80"/>
              <w:left w:type="dxa" w:w="120"/>
              <w:bottom w:type="dxa" w:w="80"/>
              <w:right w:type="dxa" w:w="120"/>
            </w:tcMar>
            <w:vAlign w:val="center"/>
          </w:tcPr>
          <w:p>
            <w:r>
              <w:rPr>
                <w:color w:val="121815"/>
                <w:sz w:val="19"/>
                <w:szCs w:val="19"/>
              </w:rPr>
              <w:t xml:space="preserve">250 students</w:t>
            </w:r>
          </w:p>
        </w:tc>
        <w:tc>
          <w:tcPr>
            <w:tcW w:type="dxa" w:w="5040"/>
            <w:shd w:fill="F4F6F3" w:val="clear"/>
            <w:tcMar>
              <w:top w:type="dxa" w:w="80"/>
              <w:left w:type="dxa" w:w="120"/>
              <w:bottom w:type="dxa" w:w="80"/>
              <w:right w:type="dxa" w:w="120"/>
            </w:tcMar>
            <w:vAlign w:val="center"/>
          </w:tcPr>
          <w:p>
            <w:r>
              <w:rPr>
                <w:color w:val="121815"/>
                <w:sz w:val="19"/>
                <w:szCs w:val="19"/>
              </w:rPr>
              <w:t xml:space="preserve">86%</w:t>
            </w:r>
          </w:p>
        </w:tc>
      </w:tr>
      <w:tr>
        <w:tc>
          <w:tcPr>
            <w:tcW w:type="dxa" w:w="5040"/>
            <w:shd w:fill="FFFFFF" w:val="clear"/>
            <w:tcMar>
              <w:top w:type="dxa" w:w="80"/>
              <w:left w:type="dxa" w:w="120"/>
              <w:bottom w:type="dxa" w:w="80"/>
              <w:right w:type="dxa" w:w="120"/>
            </w:tcMar>
            <w:vAlign w:val="center"/>
          </w:tcPr>
          <w:p>
            <w:r>
              <w:rPr>
                <w:color w:val="121815"/>
                <w:sz w:val="19"/>
                <w:szCs w:val="19"/>
              </w:rPr>
              <w:t xml:space="preserve">1,000 students</w:t>
            </w:r>
          </w:p>
        </w:tc>
        <w:tc>
          <w:tcPr>
            <w:tcW w:type="dxa" w:w="5040"/>
            <w:shd w:fill="FFFFFF" w:val="clear"/>
            <w:tcMar>
              <w:top w:type="dxa" w:w="80"/>
              <w:left w:type="dxa" w:w="120"/>
              <w:bottom w:type="dxa" w:w="80"/>
              <w:right w:type="dxa" w:w="120"/>
            </w:tcMar>
            <w:vAlign w:val="center"/>
          </w:tcPr>
          <w:p>
            <w:r>
              <w:rPr>
                <w:color w:val="121815"/>
                <w:sz w:val="19"/>
                <w:szCs w:val="19"/>
              </w:rPr>
              <w:t xml:space="preserve">96.2%</w:t>
            </w:r>
          </w:p>
        </w:tc>
      </w:tr>
      <w:tr>
        <w:tc>
          <w:tcPr>
            <w:tcW w:type="dxa" w:w="5040"/>
            <w:shd w:fill="F4F6F3" w:val="clear"/>
            <w:tcMar>
              <w:top w:type="dxa" w:w="80"/>
              <w:left w:type="dxa" w:w="120"/>
              <w:bottom w:type="dxa" w:w="80"/>
              <w:right w:type="dxa" w:w="120"/>
            </w:tcMar>
            <w:vAlign w:val="center"/>
          </w:tcPr>
          <w:p>
            <w:r>
              <w:rPr>
                <w:color w:val="121815"/>
                <w:sz w:val="19"/>
                <w:szCs w:val="19"/>
              </w:rPr>
              <w:t xml:space="preserve">2,000 students</w:t>
            </w:r>
          </w:p>
        </w:tc>
        <w:tc>
          <w:tcPr>
            <w:tcW w:type="dxa" w:w="5040"/>
            <w:shd w:fill="F4F6F3" w:val="clear"/>
            <w:tcMar>
              <w:top w:type="dxa" w:w="80"/>
              <w:left w:type="dxa" w:w="120"/>
              <w:bottom w:type="dxa" w:w="80"/>
              <w:right w:type="dxa" w:w="120"/>
            </w:tcMar>
            <w:vAlign w:val="center"/>
          </w:tcPr>
          <w:p>
            <w:r>
              <w:rPr>
                <w:color w:val="121815"/>
                <w:sz w:val="19"/>
                <w:szCs w:val="19"/>
              </w:rPr>
              <w:t xml:space="preserve">97.7%</w:t>
            </w:r>
          </w:p>
        </w:tc>
      </w:tr>
    </w:tbl>
    <w:p>
      <w:pPr>
        <w:spacing w:after="160"/>
      </w:pPr>
    </w:p>
    <w:p>
      <w:pPr>
        <w:spacing w:after="100" w:before="260"/>
      </w:pPr>
      <w:r>
        <w:rPr>
          <w:b/>
          <w:bCs/>
          <w:color w:val="121815"/>
          <w:sz w:val="22"/>
          <w:szCs w:val="22"/>
        </w:rPr>
        <w:t xml:space="preserve">Revenue expansion</w:t>
      </w:r>
    </w:p>
    <w:p>
      <w:pPr>
        <w:pStyle w:val="ListParagraph"/>
        <w:numPr>
          <w:ilvl w:val="0"/>
          <w:numId w:val="2"/>
        </w:numPr>
        <w:spacing w:after="90"/>
      </w:pPr>
      <w:r>
        <w:rPr>
          <w:sz w:val="21"/>
          <w:szCs w:val="21"/>
        </w:rPr>
        <w:t xml:space="preserve">Core per-student subscription — the base of the business, above.</w:t>
      </w:r>
    </w:p>
    <w:p>
      <w:pPr>
        <w:pStyle w:val="ListParagraph"/>
        <w:numPr>
          <w:ilvl w:val="0"/>
          <w:numId w:val="2"/>
        </w:numPr>
        <w:spacing w:after="90"/>
      </w:pPr>
      <w:r>
        <w:rPr>
          <w:sz w:val="21"/>
          <w:szCs w:val="21"/>
        </w:rPr>
        <w:t xml:space="preserve">Priority support — a paid tier with a real cost behind it (human time, not AI), a natural add-on as schools scale.</w:t>
      </w:r>
    </w:p>
    <w:p>
      <w:pPr>
        <w:pStyle w:val="ListParagraph"/>
        <w:numPr>
          <w:ilvl w:val="0"/>
          <w:numId w:val="2"/>
        </w:numPr>
        <w:spacing w:after="90"/>
      </w:pPr>
      <w:r>
        <w:rPr>
          <w:sz w:val="21"/>
          <w:szCs w:val="21"/>
        </w:rPr>
        <w:t xml:space="preserve">Organizations — a second customer type entirely: certification bodies and associations running one-off assessments, on the same infrastructure.</w:t>
      </w:r>
    </w:p>
    <w:p>
      <w:pPr>
        <w:pBdr>
          <w:bottom w:val="single" w:color="0F3D2E" w:sz="6" w:space="6"/>
        </w:pBdr>
        <w:spacing w:after="160" w:before="440"/>
      </w:pPr>
      <w:r>
        <w:rPr>
          <w:b/>
          <w:bCs/>
          <w:color w:val="8A5A2B"/>
          <w:sz w:val="26"/>
          <w:szCs w:val="26"/>
        </w:rPr>
        <w:t xml:space="preserve">8  </w:t>
      </w:r>
      <w:r>
        <w:rPr>
          <w:b/>
          <w:bCs/>
          <w:caps/>
          <w:color w:val="0F3D2E"/>
          <w:spacing w:val="10"/>
          <w:sz w:val="26"/>
          <w:szCs w:val="26"/>
        </w:rPr>
        <w:t xml:space="preserve">Go-to-Market Strategy</w:t>
      </w:r>
    </w:p>
    <w:p>
      <w:pPr>
        <w:pStyle w:val="ListParagraph"/>
        <w:numPr>
          <w:ilvl w:val="0"/>
          <w:numId w:val="2"/>
        </w:numPr>
        <w:spacing w:after="90"/>
      </w:pPr>
      <w:r>
        <w:rPr>
          <w:sz w:val="21"/>
          <w:szCs w:val="21"/>
        </w:rPr>
        <w:t xml:space="preserve">Direct outreach to individual schools. Conversations are already underway, including with Mount Saint Joseph Catholic High School.</w:t>
      </w:r>
    </w:p>
    <w:p>
      <w:pPr>
        <w:pStyle w:val="ListParagraph"/>
        <w:numPr>
          <w:ilvl w:val="0"/>
          <w:numId w:val="2"/>
        </w:numPr>
        <w:spacing w:after="90"/>
      </w:pPr>
      <w:r>
        <w:rPr>
          <w:sz w:val="21"/>
          <w:szCs w:val="21"/>
        </w:rPr>
        <w:t xml:space="preserve">Pilot-first, non-binding approach. A free or low-cost pilot period, formalized with a non-binding Letter of Intent, removes budget risk as the objection to a first commitment.</w:t>
      </w:r>
    </w:p>
    <w:p>
      <w:pPr>
        <w:pStyle w:val="ListParagraph"/>
        <w:numPr>
          <w:ilvl w:val="0"/>
          <w:numId w:val="2"/>
        </w:numPr>
        <w:spacing w:after="90"/>
      </w:pPr>
      <w:r>
        <w:rPr>
          <w:sz w:val="21"/>
          <w:szCs w:val="21"/>
        </w:rPr>
        <w:t xml:space="preserve">Flexible payment plans. Schools can pay in full, over two installments, or over four quarterly installments at no extra cost, easing budget-cycle friction.</w:t>
      </w:r>
    </w:p>
    <w:p>
      <w:pPr>
        <w:pStyle w:val="ListParagraph"/>
        <w:numPr>
          <w:ilvl w:val="0"/>
          <w:numId w:val="2"/>
        </w:numPr>
        <w:spacing w:after="90"/>
      </w:pPr>
      <w:r>
        <w:rPr>
          <w:sz w:val="21"/>
          <w:szCs w:val="21"/>
        </w:rPr>
        <w:t xml:space="preserve">The product is the pitch. A public demo exam and a live, working platform let a school evaluate Smart Assess Ja directly rather than take claims on faith.</w:t>
      </w:r>
    </w:p>
    <w:p>
      <w:pPr>
        <w:pStyle w:val="ListParagraph"/>
        <w:numPr>
          <w:ilvl w:val="0"/>
          <w:numId w:val="2"/>
        </w:numPr>
        <w:spacing w:after="90"/>
      </w:pPr>
      <w:r>
        <w:rPr>
          <w:sz w:val="21"/>
          <w:szCs w:val="21"/>
        </w:rPr>
        <w:t xml:space="preserve">Physical outreach materials. A brochure and flyer, designed for in-person drop-off at prospective schools.</w:t>
      </w:r>
    </w:p>
    <w:p>
      <w:pPr>
        <w:pStyle w:val="ListParagraph"/>
        <w:numPr>
          <w:ilvl w:val="0"/>
          <w:numId w:val="2"/>
        </w:numPr>
        <w:spacing w:after="90"/>
      </w:pPr>
      <w:r>
        <w:rPr>
          <w:sz w:val="21"/>
          <w:szCs w:val="21"/>
        </w:rPr>
        <w:t xml:space="preserve">Regional network engagement. Participation in events such as the One Caribbean Business Network (OCBN) to build relationships with schools, partners, and potential funders across the region.</w:t>
      </w:r>
    </w:p>
    <w:p>
      <w:pPr>
        <w:pStyle w:val="ListParagraph"/>
        <w:numPr>
          <w:ilvl w:val="0"/>
          <w:numId w:val="2"/>
        </w:numPr>
        <w:spacing w:after="90"/>
      </w:pPr>
      <w:r>
        <w:rPr>
          <w:sz w:val="21"/>
          <w:szCs w:val="21"/>
        </w:rPr>
        <w:t xml:space="preserve">Referral flywheel. Early pilot schools, once live, become reference customers for the next wave of outreach.</w:t>
      </w:r>
    </w:p>
    <w:p>
      <w:pPr>
        <w:pStyle w:val="ListParagraph"/>
        <w:numPr>
          <w:ilvl w:val="0"/>
          <w:numId w:val="2"/>
        </w:numPr>
        <w:spacing w:after="90"/>
      </w:pPr>
      <w:r>
        <w:rPr>
          <w:sz w:val="21"/>
          <w:szCs w:val="21"/>
        </w:rPr>
        <w:t xml:space="preserve">Organizations as a secondary channel. Certification bodies and associations running one-off assessments represent a second, parallel customer type on the same infrastructure.</w:t>
      </w:r>
    </w:p>
    <w:p>
      <w:pPr>
        <w:pBdr>
          <w:bottom w:val="single" w:color="0F3D2E" w:sz="6" w:space="6"/>
        </w:pBdr>
        <w:spacing w:after="160" w:before="440"/>
      </w:pPr>
      <w:r>
        <w:rPr>
          <w:b/>
          <w:bCs/>
          <w:color w:val="8A5A2B"/>
          <w:sz w:val="26"/>
          <w:szCs w:val="26"/>
        </w:rPr>
        <w:t xml:space="preserve">9  </w:t>
      </w:r>
      <w:r>
        <w:rPr>
          <w:b/>
          <w:bCs/>
          <w:caps/>
          <w:color w:val="0F3D2E"/>
          <w:spacing w:val="10"/>
          <w:sz w:val="26"/>
          <w:szCs w:val="26"/>
        </w:rPr>
        <w:t xml:space="preserve">Team</w:t>
      </w:r>
    </w:p>
    <w:p>
      <w:pPr>
        <w:spacing w:after="100" w:before="260"/>
      </w:pPr>
      <w:r>
        <w:rPr>
          <w:b/>
          <w:bCs/>
          <w:color w:val="121815"/>
          <w:sz w:val="22"/>
          <w:szCs w:val="22"/>
        </w:rPr>
        <w:t xml:space="preserve">Steven Gordon — Founder</w:t>
      </w:r>
    </w:p>
    <w:p>
      <w:pPr>
        <w:spacing w:after="160"/>
      </w:pPr>
      <w:r>
        <w:rPr>
          <w:sz w:val="21"/>
          <w:szCs w:val="21"/>
        </w:rPr>
        <w:t xml:space="preserve">A mix of technical, business, and problem-solving. Steven saw a real gap in how Jamaican schools run exams, informed by a computer science background and a genuine love of building software, and has been building Smart Assess Ja full time for the past few months.</w:t>
      </w:r>
    </w:p>
    <w:p>
      <w:pPr>
        <w:spacing w:after="160"/>
      </w:pPr>
      <w:r>
        <w:rPr>
          <w:sz w:val="21"/>
          <w:szCs w:val="21"/>
        </w:rPr>
        <w:t xml:space="preserve">Why Jamaica: Jamaica already has the examination culture, the educational infrastructure, and the growing digital readiness to lead in modern assessment technology. Smart Assess Ja is being built locally, for the realities of Jamaican schools.</w:t>
      </w:r>
    </w:p>
    <w:p>
      <w:pPr>
        <w:spacing w:after="100" w:before="260"/>
      </w:pPr>
      <w:r>
        <w:rPr>
          <w:b/>
          <w:bCs/>
          <w:color w:val="121815"/>
          <w:sz w:val="22"/>
          <w:szCs w:val="22"/>
        </w:rPr>
        <w:t xml:space="preserve">Extended review team</w:t>
      </w:r>
    </w:p>
    <w:p>
      <w:pPr>
        <w:spacing w:after="160"/>
      </w:pPr>
      <w:r>
        <w:rPr>
          <w:sz w:val="21"/>
          <w:szCs w:val="21"/>
        </w:rPr>
        <w:t xml:space="preserve">Three independent software engineers, based in Jamaica, the United States, and Canada — one with 8+ years of experience and two with just over three years each — ran full tests across the platform's student, teacher, and staff workflows and shaped several items now on the product roadmap. They are outside technical reviewers, not employees, and represent real third-party validation of a pre-revenue product. Real teachers separately piloted the platform hands-on through the teacher, student, and supervisor portals.</w:t>
      </w:r>
    </w:p>
    <w:p>
      <w:pPr>
        <w:pBdr>
          <w:bottom w:val="single" w:color="0F3D2E" w:sz="6" w:space="6"/>
        </w:pBdr>
        <w:spacing w:after="160" w:before="440"/>
      </w:pPr>
      <w:r>
        <w:rPr>
          <w:b/>
          <w:bCs/>
          <w:color w:val="8A5A2B"/>
          <w:sz w:val="26"/>
          <w:szCs w:val="26"/>
        </w:rPr>
        <w:t xml:space="preserve">10  </w:t>
      </w:r>
      <w:r>
        <w:rPr>
          <w:b/>
          <w:bCs/>
          <w:caps/>
          <w:color w:val="0F3D2E"/>
          <w:spacing w:val="10"/>
          <w:sz w:val="26"/>
          <w:szCs w:val="26"/>
        </w:rPr>
        <w:t xml:space="preserve">Financial Projections</w:t>
      </w:r>
    </w:p>
    <w:p>
      <w:pPr>
        <w:pBdr>
          <w:top w:val="single" w:color="D9DED6" w:sz="2" w:space="6"/>
          <w:bottom w:val="single" w:color="D9DED6" w:sz="2" w:space="6"/>
          <w:left w:val="single" w:color="D9DED6" w:sz="2" w:space="6"/>
          <w:right w:val="single" w:color="D9DED6" w:sz="2" w:space="6"/>
        </w:pBdr>
        <w:shd w:fill="F4F6F3" w:val="clear"/>
        <w:spacing w:after="180" w:before="60"/>
      </w:pPr>
      <w:r>
        <w:rPr>
          <w:i/>
          <w:iCs/>
          <w:color w:val="55605A"/>
          <w:sz w:val="19"/>
          <w:szCs w:val="19"/>
        </w:rPr>
        <w:t xml:space="preserve">These are illustrative, assumption-driven projections, not audited or contractually committed figures. They are grounded in the pricing, unit economics, and 20–30-school target already established for this plan, and should be revisited as real signed-school data comes in.</w:t>
      </w:r>
    </w:p>
    <w:p>
      <w:pPr>
        <w:spacing w:after="100" w:before="260"/>
      </w:pPr>
      <w:r>
        <w:rPr>
          <w:b/>
          <w:bCs/>
          <w:color w:val="121815"/>
          <w:sz w:val="22"/>
          <w:szCs w:val="22"/>
        </w:rPr>
        <w:t xml:space="preserve">Key assumptions</w:t>
      </w:r>
    </w:p>
    <w:p>
      <w:pPr>
        <w:pStyle w:val="ListParagraph"/>
        <w:numPr>
          <w:ilvl w:val="0"/>
          <w:numId w:val="2"/>
        </w:numPr>
        <w:spacing w:after="90"/>
      </w:pPr>
      <w:r>
        <w:rPr>
          <w:sz w:val="21"/>
          <w:szCs w:val="21"/>
        </w:rPr>
        <w:t xml:space="preserve">Average enrollment per contracted school: ~400 students (a conservative round figure against the ~436-student national average implied by the market estimates above).</w:t>
      </w:r>
    </w:p>
    <w:p>
      <w:pPr>
        <w:pStyle w:val="ListParagraph"/>
        <w:numPr>
          <w:ilvl w:val="0"/>
          <w:numId w:val="2"/>
        </w:numPr>
        <w:spacing w:after="90"/>
      </w:pPr>
      <w:r>
        <w:rPr>
          <w:sz w:val="21"/>
          <w:szCs w:val="21"/>
        </w:rPr>
        <w:t xml:space="preserve">Pricing and infrastructure cost per the Business Model section.</w:t>
      </w:r>
    </w:p>
    <w:p>
      <w:pPr>
        <w:pStyle w:val="ListParagraph"/>
        <w:numPr>
          <w:ilvl w:val="0"/>
          <w:numId w:val="2"/>
        </w:numPr>
        <w:spacing w:after="90"/>
      </w:pPr>
      <w:r>
        <w:rPr>
          <w:sz w:val="21"/>
          <w:szCs w:val="21"/>
        </w:rPr>
        <w:t xml:space="preserve">Cumulative schools onboarded: 15 by end of Year 1, 30 by end of Year 2 (consistent with the 20–30-school, 15-month target in the funding request), 55 by end of Year 3.</w:t>
      </w:r>
    </w:p>
    <w:p>
      <w:pPr>
        <w:pStyle w:val="ListParagraph"/>
        <w:numPr>
          <w:ilvl w:val="0"/>
          <w:numId w:val="2"/>
        </w:numPr>
        <w:spacing w:after="90"/>
      </w:pPr>
      <w:r>
        <w:rPr>
          <w:sz w:val="21"/>
          <w:szCs w:val="21"/>
        </w:rPr>
        <w:t xml:space="preserve">Revenue is recognized against average active schools across each year, a standard simplification for a first-pass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2160"/>
        <w:gridCol w:w="2160"/>
      </w:tblGrid>
      <w:tr>
        <w:trPr>
          <w:tblHeader/>
        </w:trPr>
        <w:tc>
          <w:tcPr>
            <w:tcW w:type="dxa" w:w="2600"/>
            <w:shd w:fill="0F3D2E" w:val="clear"/>
            <w:tcMar>
              <w:top w:type="dxa" w:w="90"/>
              <w:left w:type="dxa" w:w="120"/>
              <w:bottom w:type="dxa" w:w="90"/>
              <w:right w:type="dxa" w:w="120"/>
            </w:tcMar>
            <w:vAlign w:val="center"/>
          </w:tcPr>
          <w:p>
            <w:r>
              <w:rPr>
                <w:b/>
                <w:bCs/>
                <w:caps/>
                <w:color w:val="FFFFFF"/>
                <w:spacing w:val="6"/>
                <w:sz w:val="17"/>
                <w:szCs w:val="17"/>
              </w:rPr>
              <w:t xml:space="preserve"/>
            </w:r>
          </w:p>
        </w:tc>
        <w:tc>
          <w:tcPr>
            <w:tcW w:type="dxa" w:w="2160"/>
            <w:shd w:fill="0F3D2E" w:val="clear"/>
            <w:tcMar>
              <w:top w:type="dxa" w:w="90"/>
              <w:left w:type="dxa" w:w="120"/>
              <w:bottom w:type="dxa" w:w="90"/>
              <w:right w:type="dxa" w:w="120"/>
            </w:tcMar>
            <w:vAlign w:val="center"/>
          </w:tcPr>
          <w:p>
            <w:r>
              <w:rPr>
                <w:b/>
                <w:bCs/>
                <w:caps/>
                <w:color w:val="FFFFFF"/>
                <w:spacing w:val="6"/>
                <w:sz w:val="17"/>
                <w:szCs w:val="17"/>
              </w:rPr>
              <w:t xml:space="preserve">Year 1</w:t>
            </w:r>
          </w:p>
        </w:tc>
        <w:tc>
          <w:tcPr>
            <w:tcW w:type="dxa" w:w="2160"/>
            <w:shd w:fill="0F3D2E" w:val="clear"/>
            <w:tcMar>
              <w:top w:type="dxa" w:w="90"/>
              <w:left w:type="dxa" w:w="120"/>
              <w:bottom w:type="dxa" w:w="90"/>
              <w:right w:type="dxa" w:w="120"/>
            </w:tcMar>
            <w:vAlign w:val="center"/>
          </w:tcPr>
          <w:p>
            <w:r>
              <w:rPr>
                <w:b/>
                <w:bCs/>
                <w:caps/>
                <w:color w:val="FFFFFF"/>
                <w:spacing w:val="6"/>
                <w:sz w:val="17"/>
                <w:szCs w:val="17"/>
              </w:rPr>
              <w:t xml:space="preserve">Year 2</w:t>
            </w:r>
          </w:p>
        </w:tc>
        <w:tc>
          <w:tcPr>
            <w:tcW w:type="dxa" w:w="2160"/>
            <w:shd w:fill="0F3D2E" w:val="clear"/>
            <w:tcMar>
              <w:top w:type="dxa" w:w="90"/>
              <w:left w:type="dxa" w:w="120"/>
              <w:bottom w:type="dxa" w:w="90"/>
              <w:right w:type="dxa" w:w="120"/>
            </w:tcMar>
            <w:vAlign w:val="center"/>
          </w:tcPr>
          <w:p>
            <w:r>
              <w:rPr>
                <w:b/>
                <w:bCs/>
                <w:caps/>
                <w:color w:val="FFFFFF"/>
                <w:spacing w:val="6"/>
                <w:sz w:val="17"/>
                <w:szCs w:val="17"/>
              </w:rPr>
              <w:t xml:space="preserve">Year 3</w:t>
            </w:r>
          </w:p>
        </w:tc>
      </w:tr>
      <w:tr>
        <w:tc>
          <w:tcPr>
            <w:tcW w:type="dxa" w:w="2600"/>
            <w:shd w:fill="FFFFFF" w:val="clear"/>
            <w:tcMar>
              <w:top w:type="dxa" w:w="80"/>
              <w:left w:type="dxa" w:w="120"/>
              <w:bottom w:type="dxa" w:w="80"/>
              <w:right w:type="dxa" w:w="120"/>
            </w:tcMar>
            <w:vAlign w:val="center"/>
          </w:tcPr>
          <w:p>
            <w:r>
              <w:rPr>
                <w:color w:val="121815"/>
                <w:sz w:val="19"/>
                <w:szCs w:val="19"/>
              </w:rPr>
              <w:t xml:space="preserve">Cumulative schools (year end)</w:t>
            </w:r>
          </w:p>
        </w:tc>
        <w:tc>
          <w:tcPr>
            <w:tcW w:type="dxa" w:w="2160"/>
            <w:shd w:fill="FFFFFF" w:val="clear"/>
            <w:tcMar>
              <w:top w:type="dxa" w:w="80"/>
              <w:left w:type="dxa" w:w="120"/>
              <w:bottom w:type="dxa" w:w="80"/>
              <w:right w:type="dxa" w:w="120"/>
            </w:tcMar>
            <w:vAlign w:val="center"/>
          </w:tcPr>
          <w:p>
            <w:r>
              <w:rPr>
                <w:color w:val="121815"/>
                <w:sz w:val="19"/>
                <w:szCs w:val="19"/>
              </w:rPr>
              <w:t xml:space="preserve">15</w:t>
            </w:r>
          </w:p>
        </w:tc>
        <w:tc>
          <w:tcPr>
            <w:tcW w:type="dxa" w:w="2160"/>
            <w:shd w:fill="FFFFFF" w:val="clear"/>
            <w:tcMar>
              <w:top w:type="dxa" w:w="80"/>
              <w:left w:type="dxa" w:w="120"/>
              <w:bottom w:type="dxa" w:w="80"/>
              <w:right w:type="dxa" w:w="120"/>
            </w:tcMar>
            <w:vAlign w:val="center"/>
          </w:tcPr>
          <w:p>
            <w:r>
              <w:rPr>
                <w:color w:val="121815"/>
                <w:sz w:val="19"/>
                <w:szCs w:val="19"/>
              </w:rPr>
              <w:t xml:space="preserve">30</w:t>
            </w:r>
          </w:p>
        </w:tc>
        <w:tc>
          <w:tcPr>
            <w:tcW w:type="dxa" w:w="2160"/>
            <w:shd w:fill="FFFFFF" w:val="clear"/>
            <w:tcMar>
              <w:top w:type="dxa" w:w="80"/>
              <w:left w:type="dxa" w:w="120"/>
              <w:bottom w:type="dxa" w:w="80"/>
              <w:right w:type="dxa" w:w="120"/>
            </w:tcMar>
            <w:vAlign w:val="center"/>
          </w:tcPr>
          <w:p>
            <w:r>
              <w:rPr>
                <w:color w:val="121815"/>
                <w:sz w:val="19"/>
                <w:szCs w:val="19"/>
              </w:rPr>
              <w:t xml:space="preserve">55</w:t>
            </w:r>
          </w:p>
        </w:tc>
      </w:tr>
      <w:tr>
        <w:tc>
          <w:tcPr>
            <w:tcW w:type="dxa" w:w="2600"/>
            <w:shd w:fill="F4F6F3" w:val="clear"/>
            <w:tcMar>
              <w:top w:type="dxa" w:w="80"/>
              <w:left w:type="dxa" w:w="120"/>
              <w:bottom w:type="dxa" w:w="80"/>
              <w:right w:type="dxa" w:w="120"/>
            </w:tcMar>
            <w:vAlign w:val="center"/>
          </w:tcPr>
          <w:p>
            <w:r>
              <w:rPr>
                <w:color w:val="121815"/>
                <w:sz w:val="19"/>
                <w:szCs w:val="19"/>
              </w:rPr>
              <w:t xml:space="preserve">Average active schools</w:t>
            </w:r>
          </w:p>
        </w:tc>
        <w:tc>
          <w:tcPr>
            <w:tcW w:type="dxa" w:w="2160"/>
            <w:shd w:fill="F4F6F3" w:val="clear"/>
            <w:tcMar>
              <w:top w:type="dxa" w:w="80"/>
              <w:left w:type="dxa" w:w="120"/>
              <w:bottom w:type="dxa" w:w="80"/>
              <w:right w:type="dxa" w:w="120"/>
            </w:tcMar>
            <w:vAlign w:val="center"/>
          </w:tcPr>
          <w:p>
            <w:r>
              <w:rPr>
                <w:color w:val="121815"/>
                <w:sz w:val="19"/>
                <w:szCs w:val="19"/>
              </w:rPr>
              <w:t xml:space="preserve">7.5</w:t>
            </w:r>
          </w:p>
        </w:tc>
        <w:tc>
          <w:tcPr>
            <w:tcW w:type="dxa" w:w="2160"/>
            <w:shd w:fill="F4F6F3" w:val="clear"/>
            <w:tcMar>
              <w:top w:type="dxa" w:w="80"/>
              <w:left w:type="dxa" w:w="120"/>
              <w:bottom w:type="dxa" w:w="80"/>
              <w:right w:type="dxa" w:w="120"/>
            </w:tcMar>
            <w:vAlign w:val="center"/>
          </w:tcPr>
          <w:p>
            <w:r>
              <w:rPr>
                <w:color w:val="121815"/>
                <w:sz w:val="19"/>
                <w:szCs w:val="19"/>
              </w:rPr>
              <w:t xml:space="preserve">22.5</w:t>
            </w:r>
          </w:p>
        </w:tc>
        <w:tc>
          <w:tcPr>
            <w:tcW w:type="dxa" w:w="2160"/>
            <w:shd w:fill="F4F6F3" w:val="clear"/>
            <w:tcMar>
              <w:top w:type="dxa" w:w="80"/>
              <w:left w:type="dxa" w:w="120"/>
              <w:bottom w:type="dxa" w:w="80"/>
              <w:right w:type="dxa" w:w="120"/>
            </w:tcMar>
            <w:vAlign w:val="center"/>
          </w:tcPr>
          <w:p>
            <w:r>
              <w:rPr>
                <w:color w:val="121815"/>
                <w:sz w:val="19"/>
                <w:szCs w:val="19"/>
              </w:rPr>
              <w:t xml:space="preserve">42.5</w:t>
            </w:r>
          </w:p>
        </w:tc>
      </w:tr>
      <w:tr>
        <w:tc>
          <w:tcPr>
            <w:tcW w:type="dxa" w:w="2600"/>
            <w:shd w:fill="FFFFFF" w:val="clear"/>
            <w:tcMar>
              <w:top w:type="dxa" w:w="80"/>
              <w:left w:type="dxa" w:w="120"/>
              <w:bottom w:type="dxa" w:w="80"/>
              <w:right w:type="dxa" w:w="120"/>
            </w:tcMar>
            <w:vAlign w:val="center"/>
          </w:tcPr>
          <w:p>
            <w:r>
              <w:rPr>
                <w:color w:val="121815"/>
                <w:sz w:val="19"/>
                <w:szCs w:val="19"/>
              </w:rPr>
              <w:t xml:space="preserve">Subscription revenue</w:t>
            </w:r>
          </w:p>
        </w:tc>
        <w:tc>
          <w:tcPr>
            <w:tcW w:type="dxa" w:w="2160"/>
            <w:shd w:fill="FFFFFF" w:val="clear"/>
            <w:tcMar>
              <w:top w:type="dxa" w:w="80"/>
              <w:left w:type="dxa" w:w="120"/>
              <w:bottom w:type="dxa" w:w="80"/>
              <w:right w:type="dxa" w:w="120"/>
            </w:tcMar>
            <w:vAlign w:val="center"/>
          </w:tcPr>
          <w:p>
            <w:r>
              <w:rPr>
                <w:color w:val="121815"/>
                <w:sz w:val="19"/>
                <w:szCs w:val="19"/>
              </w:rPr>
              <w:t xml:space="preserve">$30,000</w:t>
            </w:r>
          </w:p>
        </w:tc>
        <w:tc>
          <w:tcPr>
            <w:tcW w:type="dxa" w:w="2160"/>
            <w:shd w:fill="FFFFFF" w:val="clear"/>
            <w:tcMar>
              <w:top w:type="dxa" w:w="80"/>
              <w:left w:type="dxa" w:w="120"/>
              <w:bottom w:type="dxa" w:w="80"/>
              <w:right w:type="dxa" w:w="120"/>
            </w:tcMar>
            <w:vAlign w:val="center"/>
          </w:tcPr>
          <w:p>
            <w:r>
              <w:rPr>
                <w:color w:val="121815"/>
                <w:sz w:val="19"/>
                <w:szCs w:val="19"/>
              </w:rPr>
              <w:t xml:space="preserve">$90,000</w:t>
            </w:r>
          </w:p>
        </w:tc>
        <w:tc>
          <w:tcPr>
            <w:tcW w:type="dxa" w:w="2160"/>
            <w:shd w:fill="FFFFFF" w:val="clear"/>
            <w:tcMar>
              <w:top w:type="dxa" w:w="80"/>
              <w:left w:type="dxa" w:w="120"/>
              <w:bottom w:type="dxa" w:w="80"/>
              <w:right w:type="dxa" w:w="120"/>
            </w:tcMar>
            <w:vAlign w:val="center"/>
          </w:tcPr>
          <w:p>
            <w:r>
              <w:rPr>
                <w:color w:val="121815"/>
                <w:sz w:val="19"/>
                <w:szCs w:val="19"/>
              </w:rPr>
              <w:t xml:space="preserve">$170,000</w:t>
            </w:r>
          </w:p>
        </w:tc>
      </w:tr>
      <w:tr>
        <w:tc>
          <w:tcPr>
            <w:tcW w:type="dxa" w:w="2600"/>
            <w:shd w:fill="F4F6F3" w:val="clear"/>
            <w:tcMar>
              <w:top w:type="dxa" w:w="80"/>
              <w:left w:type="dxa" w:w="120"/>
              <w:bottom w:type="dxa" w:w="80"/>
              <w:right w:type="dxa" w:w="120"/>
            </w:tcMar>
            <w:vAlign w:val="center"/>
          </w:tcPr>
          <w:p>
            <w:r>
              <w:rPr>
                <w:color w:val="121815"/>
                <w:sz w:val="19"/>
                <w:szCs w:val="19"/>
              </w:rPr>
              <w:t xml:space="preserve">Onboarding revenue</w:t>
            </w:r>
          </w:p>
        </w:tc>
        <w:tc>
          <w:tcPr>
            <w:tcW w:type="dxa" w:w="2160"/>
            <w:shd w:fill="F4F6F3" w:val="clear"/>
            <w:tcMar>
              <w:top w:type="dxa" w:w="80"/>
              <w:left w:type="dxa" w:w="120"/>
              <w:bottom w:type="dxa" w:w="80"/>
              <w:right w:type="dxa" w:w="120"/>
            </w:tcMar>
            <w:vAlign w:val="center"/>
          </w:tcPr>
          <w:p>
            <w:r>
              <w:rPr>
                <w:color w:val="121815"/>
                <w:sz w:val="19"/>
                <w:szCs w:val="19"/>
              </w:rPr>
              <w:t xml:space="preserve">$10,200</w:t>
            </w:r>
          </w:p>
        </w:tc>
        <w:tc>
          <w:tcPr>
            <w:tcW w:type="dxa" w:w="2160"/>
            <w:shd w:fill="F4F6F3" w:val="clear"/>
            <w:tcMar>
              <w:top w:type="dxa" w:w="80"/>
              <w:left w:type="dxa" w:w="120"/>
              <w:bottom w:type="dxa" w:w="80"/>
              <w:right w:type="dxa" w:w="120"/>
            </w:tcMar>
            <w:vAlign w:val="center"/>
          </w:tcPr>
          <w:p>
            <w:r>
              <w:rPr>
                <w:color w:val="121815"/>
                <w:sz w:val="19"/>
                <w:szCs w:val="19"/>
              </w:rPr>
              <w:t xml:space="preserve">$10,200</w:t>
            </w:r>
          </w:p>
        </w:tc>
        <w:tc>
          <w:tcPr>
            <w:tcW w:type="dxa" w:w="2160"/>
            <w:shd w:fill="F4F6F3" w:val="clear"/>
            <w:tcMar>
              <w:top w:type="dxa" w:w="80"/>
              <w:left w:type="dxa" w:w="120"/>
              <w:bottom w:type="dxa" w:w="80"/>
              <w:right w:type="dxa" w:w="120"/>
            </w:tcMar>
            <w:vAlign w:val="center"/>
          </w:tcPr>
          <w:p>
            <w:r>
              <w:rPr>
                <w:color w:val="121815"/>
                <w:sz w:val="19"/>
                <w:szCs w:val="19"/>
              </w:rPr>
              <w:t xml:space="preserve">$17,000</w:t>
            </w:r>
          </w:p>
        </w:tc>
      </w:tr>
      <w:tr>
        <w:tc>
          <w:tcPr>
            <w:tcW w:type="dxa" w:w="2600"/>
            <w:shd w:fill="FFFFFF" w:val="clear"/>
            <w:tcMar>
              <w:top w:type="dxa" w:w="80"/>
              <w:left w:type="dxa" w:w="120"/>
              <w:bottom w:type="dxa" w:w="80"/>
              <w:right w:type="dxa" w:w="120"/>
            </w:tcMar>
            <w:vAlign w:val="center"/>
          </w:tcPr>
          <w:p>
            <w:r>
              <w:rPr>
                <w:color w:val="121815"/>
                <w:sz w:val="19"/>
                <w:szCs w:val="19"/>
              </w:rPr>
              <w:t xml:space="preserve">Total revenue</w:t>
            </w:r>
          </w:p>
        </w:tc>
        <w:tc>
          <w:tcPr>
            <w:tcW w:type="dxa" w:w="2160"/>
            <w:shd w:fill="FFFFFF" w:val="clear"/>
            <w:tcMar>
              <w:top w:type="dxa" w:w="80"/>
              <w:left w:type="dxa" w:w="120"/>
              <w:bottom w:type="dxa" w:w="80"/>
              <w:right w:type="dxa" w:w="120"/>
            </w:tcMar>
            <w:vAlign w:val="center"/>
          </w:tcPr>
          <w:p>
            <w:r>
              <w:rPr>
                <w:color w:val="121815"/>
                <w:sz w:val="19"/>
                <w:szCs w:val="19"/>
              </w:rPr>
              <w:t xml:space="preserve">$40,200</w:t>
            </w:r>
          </w:p>
        </w:tc>
        <w:tc>
          <w:tcPr>
            <w:tcW w:type="dxa" w:w="2160"/>
            <w:shd w:fill="FFFFFF" w:val="clear"/>
            <w:tcMar>
              <w:top w:type="dxa" w:w="80"/>
              <w:left w:type="dxa" w:w="120"/>
              <w:bottom w:type="dxa" w:w="80"/>
              <w:right w:type="dxa" w:w="120"/>
            </w:tcMar>
            <w:vAlign w:val="center"/>
          </w:tcPr>
          <w:p>
            <w:r>
              <w:rPr>
                <w:color w:val="121815"/>
                <w:sz w:val="19"/>
                <w:szCs w:val="19"/>
              </w:rPr>
              <w:t xml:space="preserve">$100,200</w:t>
            </w:r>
          </w:p>
        </w:tc>
        <w:tc>
          <w:tcPr>
            <w:tcW w:type="dxa" w:w="2160"/>
            <w:shd w:fill="FFFFFF" w:val="clear"/>
            <w:tcMar>
              <w:top w:type="dxa" w:w="80"/>
              <w:left w:type="dxa" w:w="120"/>
              <w:bottom w:type="dxa" w:w="80"/>
              <w:right w:type="dxa" w:w="120"/>
            </w:tcMar>
            <w:vAlign w:val="center"/>
          </w:tcPr>
          <w:p>
            <w:r>
              <w:rPr>
                <w:color w:val="121815"/>
                <w:sz w:val="19"/>
                <w:szCs w:val="19"/>
              </w:rPr>
              <w:t xml:space="preserve">$187,000</w:t>
            </w:r>
          </w:p>
        </w:tc>
      </w:tr>
      <w:tr>
        <w:tc>
          <w:tcPr>
            <w:tcW w:type="dxa" w:w="2600"/>
            <w:shd w:fill="F4F6F3" w:val="clear"/>
            <w:tcMar>
              <w:top w:type="dxa" w:w="80"/>
              <w:left w:type="dxa" w:w="120"/>
              <w:bottom w:type="dxa" w:w="80"/>
              <w:right w:type="dxa" w:w="120"/>
            </w:tcMar>
            <w:vAlign w:val="center"/>
          </w:tcPr>
          <w:p>
            <w:r>
              <w:rPr>
                <w:color w:val="121815"/>
                <w:sz w:val="19"/>
                <w:szCs w:val="19"/>
              </w:rPr>
              <w:t xml:space="preserve">Infrastructure + AI cost</w:t>
            </w:r>
          </w:p>
        </w:tc>
        <w:tc>
          <w:tcPr>
            <w:tcW w:type="dxa" w:w="2160"/>
            <w:shd w:fill="F4F6F3" w:val="clear"/>
            <w:tcMar>
              <w:top w:type="dxa" w:w="80"/>
              <w:left w:type="dxa" w:w="120"/>
              <w:bottom w:type="dxa" w:w="80"/>
              <w:right w:type="dxa" w:w="120"/>
            </w:tcMar>
            <w:vAlign w:val="center"/>
          </w:tcPr>
          <w:p>
            <w:r>
              <w:rPr>
                <w:color w:val="121815"/>
                <w:sz w:val="19"/>
                <w:szCs w:val="19"/>
              </w:rPr>
              <w:t xml:space="preserve">$2,813</w:t>
            </w:r>
          </w:p>
        </w:tc>
        <w:tc>
          <w:tcPr>
            <w:tcW w:type="dxa" w:w="2160"/>
            <w:shd w:fill="F4F6F3" w:val="clear"/>
            <w:tcMar>
              <w:top w:type="dxa" w:w="80"/>
              <w:left w:type="dxa" w:w="120"/>
              <w:bottom w:type="dxa" w:w="80"/>
              <w:right w:type="dxa" w:w="120"/>
            </w:tcMar>
            <w:vAlign w:val="center"/>
          </w:tcPr>
          <w:p>
            <w:r>
              <w:rPr>
                <w:color w:val="121815"/>
                <w:sz w:val="19"/>
                <w:szCs w:val="19"/>
              </w:rPr>
              <w:t xml:space="preserve">$8,438</w:t>
            </w:r>
          </w:p>
        </w:tc>
        <w:tc>
          <w:tcPr>
            <w:tcW w:type="dxa" w:w="2160"/>
            <w:shd w:fill="F4F6F3" w:val="clear"/>
            <w:tcMar>
              <w:top w:type="dxa" w:w="80"/>
              <w:left w:type="dxa" w:w="120"/>
              <w:bottom w:type="dxa" w:w="80"/>
              <w:right w:type="dxa" w:w="120"/>
            </w:tcMar>
            <w:vAlign w:val="center"/>
          </w:tcPr>
          <w:p>
            <w:r>
              <w:rPr>
                <w:color w:val="121815"/>
                <w:sz w:val="19"/>
                <w:szCs w:val="19"/>
              </w:rPr>
              <w:t xml:space="preserve">$15,938</w:t>
            </w:r>
          </w:p>
        </w:tc>
      </w:tr>
      <w:tr>
        <w:tc>
          <w:tcPr>
            <w:tcW w:type="dxa" w:w="2600"/>
            <w:shd w:fill="FFFFFF" w:val="clear"/>
            <w:tcMar>
              <w:top w:type="dxa" w:w="80"/>
              <w:left w:type="dxa" w:w="120"/>
              <w:bottom w:type="dxa" w:w="80"/>
              <w:right w:type="dxa" w:w="120"/>
            </w:tcMar>
            <w:vAlign w:val="center"/>
          </w:tcPr>
          <w:p>
            <w:r>
              <w:rPr>
                <w:color w:val="121815"/>
                <w:sz w:val="19"/>
                <w:szCs w:val="19"/>
              </w:rPr>
              <w:t xml:space="preserve">Gross profit</w:t>
            </w:r>
          </w:p>
        </w:tc>
        <w:tc>
          <w:tcPr>
            <w:tcW w:type="dxa" w:w="2160"/>
            <w:shd w:fill="FFFFFF" w:val="clear"/>
            <w:tcMar>
              <w:top w:type="dxa" w:w="80"/>
              <w:left w:type="dxa" w:w="120"/>
              <w:bottom w:type="dxa" w:w="80"/>
              <w:right w:type="dxa" w:w="120"/>
            </w:tcMar>
            <w:vAlign w:val="center"/>
          </w:tcPr>
          <w:p>
            <w:r>
              <w:rPr>
                <w:color w:val="121815"/>
                <w:sz w:val="19"/>
                <w:szCs w:val="19"/>
              </w:rPr>
              <w:t xml:space="preserve">$37,388</w:t>
            </w:r>
          </w:p>
        </w:tc>
        <w:tc>
          <w:tcPr>
            <w:tcW w:type="dxa" w:w="2160"/>
            <w:shd w:fill="FFFFFF" w:val="clear"/>
            <w:tcMar>
              <w:top w:type="dxa" w:w="80"/>
              <w:left w:type="dxa" w:w="120"/>
              <w:bottom w:type="dxa" w:w="80"/>
              <w:right w:type="dxa" w:w="120"/>
            </w:tcMar>
            <w:vAlign w:val="center"/>
          </w:tcPr>
          <w:p>
            <w:r>
              <w:rPr>
                <w:color w:val="121815"/>
                <w:sz w:val="19"/>
                <w:szCs w:val="19"/>
              </w:rPr>
              <w:t xml:space="preserve">$91,763</w:t>
            </w:r>
          </w:p>
        </w:tc>
        <w:tc>
          <w:tcPr>
            <w:tcW w:type="dxa" w:w="2160"/>
            <w:shd w:fill="FFFFFF" w:val="clear"/>
            <w:tcMar>
              <w:top w:type="dxa" w:w="80"/>
              <w:left w:type="dxa" w:w="120"/>
              <w:bottom w:type="dxa" w:w="80"/>
              <w:right w:type="dxa" w:w="120"/>
            </w:tcMar>
            <w:vAlign w:val="center"/>
          </w:tcPr>
          <w:p>
            <w:r>
              <w:rPr>
                <w:color w:val="121815"/>
                <w:sz w:val="19"/>
                <w:szCs w:val="19"/>
              </w:rPr>
              <w:t xml:space="preserve">$171,063</w:t>
            </w:r>
          </w:p>
        </w:tc>
      </w:tr>
      <w:tr>
        <w:tc>
          <w:tcPr>
            <w:tcW w:type="dxa" w:w="2600"/>
            <w:shd w:fill="F4F6F3" w:val="clear"/>
            <w:tcMar>
              <w:top w:type="dxa" w:w="80"/>
              <w:left w:type="dxa" w:w="120"/>
              <w:bottom w:type="dxa" w:w="80"/>
              <w:right w:type="dxa" w:w="120"/>
            </w:tcMar>
            <w:vAlign w:val="center"/>
          </w:tcPr>
          <w:p>
            <w:r>
              <w:rPr>
                <w:color w:val="121815"/>
                <w:sz w:val="19"/>
                <w:szCs w:val="19"/>
              </w:rPr>
              <w:t xml:space="preserve">Gross margin</w:t>
            </w:r>
          </w:p>
        </w:tc>
        <w:tc>
          <w:tcPr>
            <w:tcW w:type="dxa" w:w="2160"/>
            <w:shd w:fill="F4F6F3" w:val="clear"/>
            <w:tcMar>
              <w:top w:type="dxa" w:w="80"/>
              <w:left w:type="dxa" w:w="120"/>
              <w:bottom w:type="dxa" w:w="80"/>
              <w:right w:type="dxa" w:w="120"/>
            </w:tcMar>
            <w:vAlign w:val="center"/>
          </w:tcPr>
          <w:p>
            <w:r>
              <w:rPr>
                <w:color w:val="121815"/>
                <w:sz w:val="19"/>
                <w:szCs w:val="19"/>
              </w:rPr>
              <w:t xml:space="preserve">~93%</w:t>
            </w:r>
          </w:p>
        </w:tc>
        <w:tc>
          <w:tcPr>
            <w:tcW w:type="dxa" w:w="2160"/>
            <w:shd w:fill="F4F6F3" w:val="clear"/>
            <w:tcMar>
              <w:top w:type="dxa" w:w="80"/>
              <w:left w:type="dxa" w:w="120"/>
              <w:bottom w:type="dxa" w:w="80"/>
              <w:right w:type="dxa" w:w="120"/>
            </w:tcMar>
            <w:vAlign w:val="center"/>
          </w:tcPr>
          <w:p>
            <w:r>
              <w:rPr>
                <w:color w:val="121815"/>
                <w:sz w:val="19"/>
                <w:szCs w:val="19"/>
              </w:rPr>
              <w:t xml:space="preserve">~92%</w:t>
            </w:r>
          </w:p>
        </w:tc>
        <w:tc>
          <w:tcPr>
            <w:tcW w:type="dxa" w:w="2160"/>
            <w:shd w:fill="F4F6F3" w:val="clear"/>
            <w:tcMar>
              <w:top w:type="dxa" w:w="80"/>
              <w:left w:type="dxa" w:w="120"/>
              <w:bottom w:type="dxa" w:w="80"/>
              <w:right w:type="dxa" w:w="120"/>
            </w:tcMar>
            <w:vAlign w:val="center"/>
          </w:tcPr>
          <w:p>
            <w:r>
              <w:rPr>
                <w:color w:val="121815"/>
                <w:sz w:val="19"/>
                <w:szCs w:val="19"/>
              </w:rPr>
              <w:t xml:space="preserve">~91%</w:t>
            </w:r>
          </w:p>
        </w:tc>
      </w:tr>
    </w:tbl>
    <w:p>
      <w:pPr>
        <w:spacing w:after="160"/>
      </w:pPr>
    </w:p>
    <w:p>
      <w:pPr>
        <w:spacing w:after="160"/>
      </w:pPr>
      <w:r>
        <w:rPr>
          <w:sz w:val="21"/>
          <w:szCs w:val="21"/>
        </w:rPr>
        <w:t xml:space="preserve">At this pace, Year 3 still represents roughly 12% penetration of the ~470-school Jamaican market, leaving substantial room for continued growth before any Caribbean-wide expansion is even required.</w:t>
      </w:r>
    </w:p>
    <w:p>
      <w:pPr>
        <w:spacing w:after="100" w:before="260"/>
      </w:pPr>
      <w:r>
        <w:rPr>
          <w:b/>
          <w:bCs/>
          <w:color w:val="121815"/>
          <w:sz w:val="22"/>
          <w:szCs w:val="22"/>
        </w:rPr>
        <w:t xml:space="preserve">Bridging revenue and operating costs</w:t>
      </w:r>
    </w:p>
    <w:p>
      <w:pPr>
        <w:spacing w:after="160"/>
      </w:pPr>
      <w:r>
        <w:rPr>
          <w:sz w:val="21"/>
          <w:szCs w:val="21"/>
        </w:rPr>
        <w:t xml:space="preserve">Year 1 revenue (~$40,200) does not on its own cover the full pre-seed operating plan — this is expected and by design at pre-seed stage. The $125,000 raise (see Section 11) funds the gap while product-market fit is being established. As recurring revenue scales through Year 2 and Year 3, it progressively closes that gap, positioning the company either to reach default-alive status on its own recurring revenue or to raise a seed round from a position of demonstrated traction rather than a standing start.</w:t>
      </w:r>
    </w:p>
    <w:p>
      <w:pPr>
        <w:pBdr>
          <w:bottom w:val="single" w:color="0F3D2E" w:sz="6" w:space="6"/>
        </w:pBdr>
        <w:spacing w:after="160" w:before="440"/>
      </w:pPr>
      <w:r>
        <w:rPr>
          <w:b/>
          <w:bCs/>
          <w:color w:val="8A5A2B"/>
          <w:sz w:val="26"/>
          <w:szCs w:val="26"/>
        </w:rPr>
        <w:t xml:space="preserve">11  </w:t>
      </w:r>
      <w:r>
        <w:rPr>
          <w:b/>
          <w:bCs/>
          <w:caps/>
          <w:color w:val="0F3D2E"/>
          <w:spacing w:val="10"/>
          <w:sz w:val="26"/>
          <w:szCs w:val="26"/>
        </w:rPr>
        <w:t xml:space="preserve">Funding Request</w:t>
      </w:r>
    </w:p>
    <w:p>
      <w:pPr>
        <w:spacing w:after="160"/>
      </w:pPr>
      <w:r>
        <w:rPr>
          <w:sz w:val="21"/>
          <w:szCs w:val="21"/>
        </w:rPr>
        <w:t xml:space="preserve">Smart Assess Ja is raising US$125,000 in pre-seed funding.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F3D2E" w:val="clear"/>
            <w:tcMar>
              <w:top w:type="dxa" w:w="90"/>
              <w:left w:type="dxa" w:w="120"/>
              <w:bottom w:type="dxa" w:w="90"/>
              <w:right w:type="dxa" w:w="120"/>
            </w:tcMar>
            <w:vAlign w:val="center"/>
          </w:tcPr>
          <w:p>
            <w:r>
              <w:rPr>
                <w:b/>
                <w:bCs/>
                <w:caps/>
                <w:color w:val="FFFFFF"/>
                <w:spacing w:val="6"/>
                <w:sz w:val="17"/>
                <w:szCs w:val="17"/>
              </w:rPr>
              <w:t xml:space="preserve">Category</w:t>
            </w:r>
          </w:p>
        </w:tc>
        <w:tc>
          <w:tcPr>
            <w:tcW w:type="dxa" w:w="3360"/>
            <w:shd w:fill="0F3D2E" w:val="clear"/>
            <w:tcMar>
              <w:top w:type="dxa" w:w="90"/>
              <w:left w:type="dxa" w:w="120"/>
              <w:bottom w:type="dxa" w:w="90"/>
              <w:right w:type="dxa" w:w="120"/>
            </w:tcMar>
            <w:vAlign w:val="center"/>
          </w:tcPr>
          <w:p>
            <w:r>
              <w:rPr>
                <w:b/>
                <w:bCs/>
                <w:caps/>
                <w:color w:val="FFFFFF"/>
                <w:spacing w:val="6"/>
                <w:sz w:val="17"/>
                <w:szCs w:val="17"/>
              </w:rPr>
              <w:t xml:space="preserve">Share</w:t>
            </w:r>
          </w:p>
        </w:tc>
        <w:tc>
          <w:tcPr>
            <w:tcW w:type="dxa" w:w="3360"/>
            <w:shd w:fill="0F3D2E" w:val="clear"/>
            <w:tcMar>
              <w:top w:type="dxa" w:w="90"/>
              <w:left w:type="dxa" w:w="120"/>
              <w:bottom w:type="dxa" w:w="90"/>
              <w:right w:type="dxa" w:w="120"/>
            </w:tcMar>
            <w:vAlign w:val="center"/>
          </w:tcPr>
          <w:p>
            <w:r>
              <w:rPr>
                <w:b/>
                <w:bCs/>
                <w:caps/>
                <w:color w:val="FFFFFF"/>
                <w:spacing w:val="6"/>
                <w:sz w:val="17"/>
                <w:szCs w:val="17"/>
              </w:rPr>
              <w:t xml:space="preserve">Amount</w:t>
            </w:r>
          </w:p>
        </w:tc>
      </w:tr>
      <w:tr>
        <w:tc>
          <w:tcPr>
            <w:tcW w:type="dxa" w:w="3360"/>
            <w:shd w:fill="FFFFFF" w:val="clear"/>
            <w:tcMar>
              <w:top w:type="dxa" w:w="80"/>
              <w:left w:type="dxa" w:w="120"/>
              <w:bottom w:type="dxa" w:w="80"/>
              <w:right w:type="dxa" w:w="120"/>
            </w:tcMar>
            <w:vAlign w:val="center"/>
          </w:tcPr>
          <w:p>
            <w:r>
              <w:rPr>
                <w:color w:val="121815"/>
                <w:sz w:val="19"/>
                <w:szCs w:val="19"/>
              </w:rPr>
              <w:t xml:space="preserve">Engineering &amp; product development</w:t>
            </w:r>
          </w:p>
        </w:tc>
        <w:tc>
          <w:tcPr>
            <w:tcW w:type="dxa" w:w="3360"/>
            <w:shd w:fill="FFFFFF" w:val="clear"/>
            <w:tcMar>
              <w:top w:type="dxa" w:w="80"/>
              <w:left w:type="dxa" w:w="120"/>
              <w:bottom w:type="dxa" w:w="80"/>
              <w:right w:type="dxa" w:w="120"/>
            </w:tcMar>
            <w:vAlign w:val="center"/>
          </w:tcPr>
          <w:p>
            <w:r>
              <w:rPr>
                <w:color w:val="121815"/>
                <w:sz w:val="19"/>
                <w:szCs w:val="19"/>
              </w:rPr>
              <w:t xml:space="preserve">30%</w:t>
            </w:r>
          </w:p>
        </w:tc>
        <w:tc>
          <w:tcPr>
            <w:tcW w:type="dxa" w:w="3360"/>
            <w:shd w:fill="FFFFFF" w:val="clear"/>
            <w:tcMar>
              <w:top w:type="dxa" w:w="80"/>
              <w:left w:type="dxa" w:w="120"/>
              <w:bottom w:type="dxa" w:w="80"/>
              <w:right w:type="dxa" w:w="120"/>
            </w:tcMar>
            <w:vAlign w:val="center"/>
          </w:tcPr>
          <w:p>
            <w:r>
              <w:rPr>
                <w:color w:val="121815"/>
                <w:sz w:val="19"/>
                <w:szCs w:val="19"/>
              </w:rPr>
              <w:t xml:space="preserve">$37,500</w:t>
            </w:r>
          </w:p>
        </w:tc>
      </w:tr>
      <w:tr>
        <w:tc>
          <w:tcPr>
            <w:tcW w:type="dxa" w:w="3360"/>
            <w:shd w:fill="F4F6F3" w:val="clear"/>
            <w:tcMar>
              <w:top w:type="dxa" w:w="80"/>
              <w:left w:type="dxa" w:w="120"/>
              <w:bottom w:type="dxa" w:w="80"/>
              <w:right w:type="dxa" w:w="120"/>
            </w:tcMar>
            <w:vAlign w:val="center"/>
          </w:tcPr>
          <w:p>
            <w:r>
              <w:rPr>
                <w:color w:val="121815"/>
                <w:sz w:val="19"/>
                <w:szCs w:val="19"/>
              </w:rPr>
              <w:t xml:space="preserve">Sales &amp; onboarding</w:t>
            </w:r>
          </w:p>
        </w:tc>
        <w:tc>
          <w:tcPr>
            <w:tcW w:type="dxa" w:w="3360"/>
            <w:shd w:fill="F4F6F3" w:val="clear"/>
            <w:tcMar>
              <w:top w:type="dxa" w:w="80"/>
              <w:left w:type="dxa" w:w="120"/>
              <w:bottom w:type="dxa" w:w="80"/>
              <w:right w:type="dxa" w:w="120"/>
            </w:tcMar>
            <w:vAlign w:val="center"/>
          </w:tcPr>
          <w:p>
            <w:r>
              <w:rPr>
                <w:color w:val="121815"/>
                <w:sz w:val="19"/>
                <w:szCs w:val="19"/>
              </w:rPr>
              <w:t xml:space="preserve">25%</w:t>
            </w:r>
          </w:p>
        </w:tc>
        <w:tc>
          <w:tcPr>
            <w:tcW w:type="dxa" w:w="3360"/>
            <w:shd w:fill="F4F6F3" w:val="clear"/>
            <w:tcMar>
              <w:top w:type="dxa" w:w="80"/>
              <w:left w:type="dxa" w:w="120"/>
              <w:bottom w:type="dxa" w:w="80"/>
              <w:right w:type="dxa" w:w="120"/>
            </w:tcMar>
            <w:vAlign w:val="center"/>
          </w:tcPr>
          <w:p>
            <w:r>
              <w:rPr>
                <w:color w:val="121815"/>
                <w:sz w:val="19"/>
                <w:szCs w:val="19"/>
              </w:rPr>
              <w:t xml:space="preserve">$31,250</w:t>
            </w:r>
          </w:p>
        </w:tc>
      </w:tr>
      <w:tr>
        <w:tc>
          <w:tcPr>
            <w:tcW w:type="dxa" w:w="3360"/>
            <w:shd w:fill="FFFFFF" w:val="clear"/>
            <w:tcMar>
              <w:top w:type="dxa" w:w="80"/>
              <w:left w:type="dxa" w:w="120"/>
              <w:bottom w:type="dxa" w:w="80"/>
              <w:right w:type="dxa" w:w="120"/>
            </w:tcMar>
            <w:vAlign w:val="center"/>
          </w:tcPr>
          <w:p>
            <w:r>
              <w:rPr>
                <w:color w:val="121815"/>
                <w:sz w:val="19"/>
                <w:szCs w:val="19"/>
              </w:rPr>
              <w:t xml:space="preserve">Infrastructure &amp; security</w:t>
            </w:r>
          </w:p>
        </w:tc>
        <w:tc>
          <w:tcPr>
            <w:tcW w:type="dxa" w:w="3360"/>
            <w:shd w:fill="FFFFFF" w:val="clear"/>
            <w:tcMar>
              <w:top w:type="dxa" w:w="80"/>
              <w:left w:type="dxa" w:w="120"/>
              <w:bottom w:type="dxa" w:w="80"/>
              <w:right w:type="dxa" w:w="120"/>
            </w:tcMar>
            <w:vAlign w:val="center"/>
          </w:tcPr>
          <w:p>
            <w:r>
              <w:rPr>
                <w:color w:val="121815"/>
                <w:sz w:val="19"/>
                <w:szCs w:val="19"/>
              </w:rPr>
              <w:t xml:space="preserve">15%</w:t>
            </w:r>
          </w:p>
        </w:tc>
        <w:tc>
          <w:tcPr>
            <w:tcW w:type="dxa" w:w="3360"/>
            <w:shd w:fill="FFFFFF" w:val="clear"/>
            <w:tcMar>
              <w:top w:type="dxa" w:w="80"/>
              <w:left w:type="dxa" w:w="120"/>
              <w:bottom w:type="dxa" w:w="80"/>
              <w:right w:type="dxa" w:w="120"/>
            </w:tcMar>
            <w:vAlign w:val="center"/>
          </w:tcPr>
          <w:p>
            <w:r>
              <w:rPr>
                <w:color w:val="121815"/>
                <w:sz w:val="19"/>
                <w:szCs w:val="19"/>
              </w:rPr>
              <w:t xml:space="preserve">$18,750</w:t>
            </w:r>
          </w:p>
        </w:tc>
      </w:tr>
      <w:tr>
        <w:tc>
          <w:tcPr>
            <w:tcW w:type="dxa" w:w="3360"/>
            <w:shd w:fill="F4F6F3" w:val="clear"/>
            <w:tcMar>
              <w:top w:type="dxa" w:w="80"/>
              <w:left w:type="dxa" w:w="120"/>
              <w:bottom w:type="dxa" w:w="80"/>
              <w:right w:type="dxa" w:w="120"/>
            </w:tcMar>
            <w:vAlign w:val="center"/>
          </w:tcPr>
          <w:p>
            <w:r>
              <w:rPr>
                <w:color w:val="121815"/>
                <w:sz w:val="19"/>
                <w:szCs w:val="19"/>
              </w:rPr>
              <w:t xml:space="preserve">Marketing &amp; market development</w:t>
            </w:r>
          </w:p>
        </w:tc>
        <w:tc>
          <w:tcPr>
            <w:tcW w:type="dxa" w:w="3360"/>
            <w:shd w:fill="F4F6F3" w:val="clear"/>
            <w:tcMar>
              <w:top w:type="dxa" w:w="80"/>
              <w:left w:type="dxa" w:w="120"/>
              <w:bottom w:type="dxa" w:w="80"/>
              <w:right w:type="dxa" w:w="120"/>
            </w:tcMar>
            <w:vAlign w:val="center"/>
          </w:tcPr>
          <w:p>
            <w:r>
              <w:rPr>
                <w:color w:val="121815"/>
                <w:sz w:val="19"/>
                <w:szCs w:val="19"/>
              </w:rPr>
              <w:t xml:space="preserve">15%</w:t>
            </w:r>
          </w:p>
        </w:tc>
        <w:tc>
          <w:tcPr>
            <w:tcW w:type="dxa" w:w="3360"/>
            <w:shd w:fill="F4F6F3" w:val="clear"/>
            <w:tcMar>
              <w:top w:type="dxa" w:w="80"/>
              <w:left w:type="dxa" w:w="120"/>
              <w:bottom w:type="dxa" w:w="80"/>
              <w:right w:type="dxa" w:w="120"/>
            </w:tcMar>
            <w:vAlign w:val="center"/>
          </w:tcPr>
          <w:p>
            <w:r>
              <w:rPr>
                <w:color w:val="121815"/>
                <w:sz w:val="19"/>
                <w:szCs w:val="19"/>
              </w:rPr>
              <w:t xml:space="preserve">$18,750</w:t>
            </w:r>
          </w:p>
        </w:tc>
      </w:tr>
      <w:tr>
        <w:tc>
          <w:tcPr>
            <w:tcW w:type="dxa" w:w="3360"/>
            <w:shd w:fill="FFFFFF" w:val="clear"/>
            <w:tcMar>
              <w:top w:type="dxa" w:w="80"/>
              <w:left w:type="dxa" w:w="120"/>
              <w:bottom w:type="dxa" w:w="80"/>
              <w:right w:type="dxa" w:w="120"/>
            </w:tcMar>
            <w:vAlign w:val="center"/>
          </w:tcPr>
          <w:p>
            <w:r>
              <w:rPr>
                <w:color w:val="121815"/>
                <w:sz w:val="19"/>
                <w:szCs w:val="19"/>
              </w:rPr>
              <w:t xml:space="preserve">Caribbean expansion preparation</w:t>
            </w:r>
          </w:p>
        </w:tc>
        <w:tc>
          <w:tcPr>
            <w:tcW w:type="dxa" w:w="3360"/>
            <w:shd w:fill="FFFFFF" w:val="clear"/>
            <w:tcMar>
              <w:top w:type="dxa" w:w="80"/>
              <w:left w:type="dxa" w:w="120"/>
              <w:bottom w:type="dxa" w:w="80"/>
              <w:right w:type="dxa" w:w="120"/>
            </w:tcMar>
            <w:vAlign w:val="center"/>
          </w:tcPr>
          <w:p>
            <w:r>
              <w:rPr>
                <w:color w:val="121815"/>
                <w:sz w:val="19"/>
                <w:szCs w:val="19"/>
              </w:rPr>
              <w:t xml:space="preserve">10%</w:t>
            </w:r>
          </w:p>
        </w:tc>
        <w:tc>
          <w:tcPr>
            <w:tcW w:type="dxa" w:w="3360"/>
            <w:shd w:fill="FFFFFF" w:val="clear"/>
            <w:tcMar>
              <w:top w:type="dxa" w:w="80"/>
              <w:left w:type="dxa" w:w="120"/>
              <w:bottom w:type="dxa" w:w="80"/>
              <w:right w:type="dxa" w:w="120"/>
            </w:tcMar>
            <w:vAlign w:val="center"/>
          </w:tcPr>
          <w:p>
            <w:r>
              <w:rPr>
                <w:color w:val="121815"/>
                <w:sz w:val="19"/>
                <w:szCs w:val="19"/>
              </w:rPr>
              <w:t xml:space="preserve">$12,500</w:t>
            </w:r>
          </w:p>
        </w:tc>
      </w:tr>
      <w:tr>
        <w:tc>
          <w:tcPr>
            <w:tcW w:type="dxa" w:w="3360"/>
            <w:shd w:fill="F4F6F3" w:val="clear"/>
            <w:tcMar>
              <w:top w:type="dxa" w:w="80"/>
              <w:left w:type="dxa" w:w="120"/>
              <w:bottom w:type="dxa" w:w="80"/>
              <w:right w:type="dxa" w:w="120"/>
            </w:tcMar>
            <w:vAlign w:val="center"/>
          </w:tcPr>
          <w:p>
            <w:r>
              <w:rPr>
                <w:color w:val="121815"/>
                <w:sz w:val="19"/>
                <w:szCs w:val="19"/>
              </w:rPr>
              <w:t xml:space="preserve">Legal &amp; contingency</w:t>
            </w:r>
          </w:p>
        </w:tc>
        <w:tc>
          <w:tcPr>
            <w:tcW w:type="dxa" w:w="3360"/>
            <w:shd w:fill="F4F6F3" w:val="clear"/>
            <w:tcMar>
              <w:top w:type="dxa" w:w="80"/>
              <w:left w:type="dxa" w:w="120"/>
              <w:bottom w:type="dxa" w:w="80"/>
              <w:right w:type="dxa" w:w="120"/>
            </w:tcMar>
            <w:vAlign w:val="center"/>
          </w:tcPr>
          <w:p>
            <w:r>
              <w:rPr>
                <w:color w:val="121815"/>
                <w:sz w:val="19"/>
                <w:szCs w:val="19"/>
              </w:rPr>
              <w:t xml:space="preserve">5%</w:t>
            </w:r>
          </w:p>
        </w:tc>
        <w:tc>
          <w:tcPr>
            <w:tcW w:type="dxa" w:w="3360"/>
            <w:shd w:fill="F4F6F3" w:val="clear"/>
            <w:tcMar>
              <w:top w:type="dxa" w:w="80"/>
              <w:left w:type="dxa" w:w="120"/>
              <w:bottom w:type="dxa" w:w="80"/>
              <w:right w:type="dxa" w:w="120"/>
            </w:tcMar>
            <w:vAlign w:val="center"/>
          </w:tcPr>
          <w:p>
            <w:r>
              <w:rPr>
                <w:color w:val="121815"/>
                <w:sz w:val="19"/>
                <w:szCs w:val="19"/>
              </w:rPr>
              <w:t xml:space="preserve">$6,250</w:t>
            </w:r>
          </w:p>
        </w:tc>
      </w:tr>
    </w:tbl>
    <w:p>
      <w:pPr>
        <w:spacing w:after="160"/>
      </w:pPr>
    </w:p>
    <w:p>
      <w:pPr>
        <w:spacing w:after="160"/>
      </w:pPr>
      <w:r>
        <w:rPr>
          <w:sz w:val="21"/>
          <w:szCs w:val="21"/>
        </w:rPr>
        <w:t xml:space="preserve">This provides approximately 15 months of runway, with a target of 20 to 30 schools onboarded, recurring revenue established, and a validated model ready for wider Jamaican and Caribbean expansion. The objective is to prove Smart Assess Ja at the school level, establish product-market fit, and use that traction to support the next stage of growth.</w:t>
      </w:r>
    </w:p>
    <w:p>
      <w:pPr>
        <w:pBdr>
          <w:bottom w:val="single" w:color="0F3D2E" w:sz="6" w:space="6"/>
        </w:pBdr>
        <w:spacing w:after="160" w:before="440"/>
      </w:pPr>
      <w:r>
        <w:rPr>
          <w:b/>
          <w:bCs/>
          <w:color w:val="8A5A2B"/>
          <w:sz w:val="26"/>
          <w:szCs w:val="26"/>
        </w:rPr>
        <w:t xml:space="preserve">12  </w:t>
      </w:r>
      <w:r>
        <w:rPr>
          <w:b/>
          <w:bCs/>
          <w:caps/>
          <w:color w:val="0F3D2E"/>
          <w:spacing w:val="10"/>
          <w:sz w:val="26"/>
          <w:szCs w:val="26"/>
        </w:rPr>
        <w:t xml:space="preserve">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5680"/>
      </w:tblGrid>
      <w:tr>
        <w:trPr>
          <w:tblHeader/>
        </w:trPr>
        <w:tc>
          <w:tcPr>
            <w:tcW w:type="dxa" w:w="3400"/>
            <w:shd w:fill="0F3D2E" w:val="clear"/>
            <w:tcMar>
              <w:top w:type="dxa" w:w="90"/>
              <w:left w:type="dxa" w:w="120"/>
              <w:bottom w:type="dxa" w:w="90"/>
              <w:right w:type="dxa" w:w="120"/>
            </w:tcMar>
            <w:vAlign w:val="center"/>
          </w:tcPr>
          <w:p>
            <w:r>
              <w:rPr>
                <w:b/>
                <w:bCs/>
                <w:caps/>
                <w:color w:val="FFFFFF"/>
                <w:spacing w:val="6"/>
                <w:sz w:val="17"/>
                <w:szCs w:val="17"/>
              </w:rPr>
              <w:t xml:space="preserve">Risk</w:t>
            </w:r>
          </w:p>
        </w:tc>
        <w:tc>
          <w:tcPr>
            <w:tcW w:type="dxa" w:w="5680"/>
            <w:shd w:fill="0F3D2E" w:val="clear"/>
            <w:tcMar>
              <w:top w:type="dxa" w:w="90"/>
              <w:left w:type="dxa" w:w="120"/>
              <w:bottom w:type="dxa" w:w="90"/>
              <w:right w:type="dxa" w:w="120"/>
            </w:tcMar>
            <w:vAlign w:val="center"/>
          </w:tcPr>
          <w:p>
            <w:r>
              <w:rPr>
                <w:b/>
                <w:bCs/>
                <w:caps/>
                <w:color w:val="FFFFFF"/>
                <w:spacing w:val="6"/>
                <w:sz w:val="17"/>
                <w:szCs w:val="17"/>
              </w:rPr>
              <w:t xml:space="preserve">Mitigation</w:t>
            </w:r>
          </w:p>
        </w:tc>
      </w:tr>
      <w:tr>
        <w:tc>
          <w:tcPr>
            <w:tcW w:type="dxa" w:w="3400"/>
            <w:shd w:fill="FFFFFF" w:val="clear"/>
            <w:tcMar>
              <w:top w:type="dxa" w:w="80"/>
              <w:left w:type="dxa" w:w="120"/>
              <w:bottom w:type="dxa" w:w="80"/>
              <w:right w:type="dxa" w:w="120"/>
            </w:tcMar>
            <w:vAlign w:val="center"/>
          </w:tcPr>
          <w:p>
            <w:r>
              <w:rPr>
                <w:color w:val="121815"/>
                <w:sz w:val="19"/>
                <w:szCs w:val="19"/>
              </w:rPr>
              <w:t xml:space="preserve">Key-person dependency — the company is currently founder-led.</w:t>
            </w:r>
          </w:p>
        </w:tc>
        <w:tc>
          <w:tcPr>
            <w:tcW w:type="dxa" w:w="5680"/>
            <w:shd w:fill="FFFFFF" w:val="clear"/>
            <w:tcMar>
              <w:top w:type="dxa" w:w="80"/>
              <w:left w:type="dxa" w:w="120"/>
              <w:bottom w:type="dxa" w:w="80"/>
              <w:right w:type="dxa" w:w="120"/>
            </w:tcMar>
            <w:vAlign w:val="center"/>
          </w:tcPr>
          <w:p>
            <w:r>
              <w:rPr>
                <w:color w:val="121815"/>
                <w:sz w:val="19"/>
                <w:szCs w:val="19"/>
              </w:rPr>
              <w:t xml:space="preserve">Independent third-party technical review already completed; part of the raise is earmarked for engineering and sales hires to reduce single-person dependency.</w:t>
            </w:r>
          </w:p>
        </w:tc>
      </w:tr>
      <w:tr>
        <w:tc>
          <w:tcPr>
            <w:tcW w:type="dxa" w:w="3400"/>
            <w:shd w:fill="F4F6F3" w:val="clear"/>
            <w:tcMar>
              <w:top w:type="dxa" w:w="80"/>
              <w:left w:type="dxa" w:w="120"/>
              <w:bottom w:type="dxa" w:w="80"/>
              <w:right w:type="dxa" w:w="120"/>
            </w:tcMar>
            <w:vAlign w:val="center"/>
          </w:tcPr>
          <w:p>
            <w:r>
              <w:rPr>
                <w:color w:val="121815"/>
                <w:sz w:val="19"/>
                <w:szCs w:val="19"/>
              </w:rPr>
              <w:t xml:space="preserve">School budget cycles and payment timing.</w:t>
            </w:r>
          </w:p>
        </w:tc>
        <w:tc>
          <w:tcPr>
            <w:tcW w:type="dxa" w:w="5680"/>
            <w:shd w:fill="F4F6F3" w:val="clear"/>
            <w:tcMar>
              <w:top w:type="dxa" w:w="80"/>
              <w:left w:type="dxa" w:w="120"/>
              <w:bottom w:type="dxa" w:w="80"/>
              <w:right w:type="dxa" w:w="120"/>
            </w:tcMar>
            <w:vAlign w:val="center"/>
          </w:tcPr>
          <w:p>
            <w:r>
              <w:rPr>
                <w:color w:val="121815"/>
                <w:sz w:val="19"/>
                <w:szCs w:val="19"/>
              </w:rPr>
              <w:t xml:space="preserve">Non-binding pilot-first approach and flexible 1/2/4-installment payment plans, already built into the pricing model.</w:t>
            </w:r>
          </w:p>
        </w:tc>
      </w:tr>
      <w:tr>
        <w:tc>
          <w:tcPr>
            <w:tcW w:type="dxa" w:w="3400"/>
            <w:shd w:fill="FFFFFF" w:val="clear"/>
            <w:tcMar>
              <w:top w:type="dxa" w:w="80"/>
              <w:left w:type="dxa" w:w="120"/>
              <w:bottom w:type="dxa" w:w="80"/>
              <w:right w:type="dxa" w:w="120"/>
            </w:tcMar>
            <w:vAlign w:val="center"/>
          </w:tcPr>
          <w:p>
            <w:r>
              <w:rPr>
                <w:color w:val="121815"/>
                <w:sz w:val="19"/>
                <w:szCs w:val="19"/>
              </w:rPr>
              <w:t xml:space="preserve">Reliance on third-party infrastructure (cloud hosting, AI provider).</w:t>
            </w:r>
          </w:p>
        </w:tc>
        <w:tc>
          <w:tcPr>
            <w:tcW w:type="dxa" w:w="5680"/>
            <w:shd w:fill="FFFFFF" w:val="clear"/>
            <w:tcMar>
              <w:top w:type="dxa" w:w="80"/>
              <w:left w:type="dxa" w:w="120"/>
              <w:bottom w:type="dxa" w:w="80"/>
              <w:right w:type="dxa" w:w="120"/>
            </w:tcMar>
            <w:vAlign w:val="center"/>
          </w:tcPr>
          <w:p>
            <w:r>
              <w:rPr>
                <w:color w:val="121815"/>
                <w:sz w:val="19"/>
                <w:szCs w:val="19"/>
              </w:rPr>
              <w:t xml:space="preserve">AI use is advisory-only and never on the critical grading/integrity path; AI spend is a small, controllable line item; core infrastructure uses standard, replaceable cloud services.</w:t>
            </w:r>
          </w:p>
        </w:tc>
      </w:tr>
      <w:tr>
        <w:tc>
          <w:tcPr>
            <w:tcW w:type="dxa" w:w="3400"/>
            <w:shd w:fill="F4F6F3" w:val="clear"/>
            <w:tcMar>
              <w:top w:type="dxa" w:w="80"/>
              <w:left w:type="dxa" w:w="120"/>
              <w:bottom w:type="dxa" w:w="80"/>
              <w:right w:type="dxa" w:w="120"/>
            </w:tcMar>
            <w:vAlign w:val="center"/>
          </w:tcPr>
          <w:p>
            <w:r>
              <w:rPr>
                <w:color w:val="121815"/>
                <w:sz w:val="19"/>
                <w:szCs w:val="19"/>
              </w:rPr>
              <w:t xml:space="preserve">Competitive response from an incumbent.</w:t>
            </w:r>
          </w:p>
        </w:tc>
        <w:tc>
          <w:tcPr>
            <w:tcW w:type="dxa" w:w="5680"/>
            <w:shd w:fill="F4F6F3" w:val="clear"/>
            <w:tcMar>
              <w:top w:type="dxa" w:w="80"/>
              <w:left w:type="dxa" w:w="120"/>
              <w:bottom w:type="dxa" w:w="80"/>
              <w:right w:type="dxa" w:w="120"/>
            </w:tcMar>
            <w:vAlign w:val="center"/>
          </w:tcPr>
          <w:p>
            <w:r>
              <w:rPr>
                <w:color w:val="121815"/>
                <w:sz w:val="19"/>
                <w:szCs w:val="19"/>
              </w:rPr>
              <w:t xml:space="preserve">The closest adjacent player (EduFocal/Walstron) is currently in financial distress and diversifying away from focused edtech investment, reducing near-term competitive pressure.</w:t>
            </w:r>
          </w:p>
        </w:tc>
      </w:tr>
      <w:tr>
        <w:tc>
          <w:tcPr>
            <w:tcW w:type="dxa" w:w="3400"/>
            <w:shd w:fill="FFFFFF" w:val="clear"/>
            <w:tcMar>
              <w:top w:type="dxa" w:w="80"/>
              <w:left w:type="dxa" w:w="120"/>
              <w:bottom w:type="dxa" w:w="80"/>
              <w:right w:type="dxa" w:w="120"/>
            </w:tcMar>
            <w:vAlign w:val="center"/>
          </w:tcPr>
          <w:p>
            <w:r>
              <w:rPr>
                <w:color w:val="121815"/>
                <w:sz w:val="19"/>
                <w:szCs w:val="19"/>
              </w:rPr>
              <w:t xml:space="preserve">Data protection and regulatory risk.</w:t>
            </w:r>
          </w:p>
        </w:tc>
        <w:tc>
          <w:tcPr>
            <w:tcW w:type="dxa" w:w="5680"/>
            <w:shd w:fill="FFFFFF" w:val="clear"/>
            <w:tcMar>
              <w:top w:type="dxa" w:w="80"/>
              <w:left w:type="dxa" w:w="120"/>
              <w:bottom w:type="dxa" w:w="80"/>
              <w:right w:type="dxa" w:w="120"/>
            </w:tcMar>
            <w:vAlign w:val="center"/>
          </w:tcPr>
          <w:p>
            <w:r>
              <w:rPr>
                <w:color w:val="121815"/>
                <w:sz w:val="19"/>
                <w:szCs w:val="19"/>
              </w:rPr>
              <w:t xml:space="preserve">Per-school data isolation and design aligned with Jamaica's Data Protection Act from the outset, not retrofitted.</w:t>
            </w:r>
          </w:p>
        </w:tc>
      </w:tr>
      <w:tr>
        <w:tc>
          <w:tcPr>
            <w:tcW w:type="dxa" w:w="3400"/>
            <w:shd w:fill="F4F6F3" w:val="clear"/>
            <w:tcMar>
              <w:top w:type="dxa" w:w="80"/>
              <w:left w:type="dxa" w:w="120"/>
              <w:bottom w:type="dxa" w:w="80"/>
              <w:right w:type="dxa" w:w="120"/>
            </w:tcMar>
            <w:vAlign w:val="center"/>
          </w:tcPr>
          <w:p>
            <w:r>
              <w:rPr>
                <w:color w:val="121815"/>
                <w:sz w:val="19"/>
                <w:szCs w:val="19"/>
              </w:rPr>
              <w:t xml:space="preserve">Company not yet formally incorporated.</w:t>
            </w:r>
          </w:p>
        </w:tc>
        <w:tc>
          <w:tcPr>
            <w:tcW w:type="dxa" w:w="5680"/>
            <w:shd w:fill="F4F6F3" w:val="clear"/>
            <w:tcMar>
              <w:top w:type="dxa" w:w="80"/>
              <w:left w:type="dxa" w:w="120"/>
              <w:bottom w:type="dxa" w:w="80"/>
              <w:right w:type="dxa" w:w="120"/>
            </w:tcMar>
            <w:vAlign w:val="center"/>
          </w:tcPr>
          <w:p>
            <w:r>
              <w:rPr>
                <w:color w:val="121815"/>
                <w:sz w:val="19"/>
                <w:szCs w:val="19"/>
              </w:rPr>
              <w:t xml:space="preserve">A standard pre-seed-stage step; incorporation is planned ahead of closing this funding round.</w:t>
            </w:r>
          </w:p>
        </w:tc>
      </w:tr>
    </w:tbl>
    <w:p>
      <w:pPr>
        <w:pBdr>
          <w:bottom w:val="single" w:color="0F3D2E" w:sz="6" w:space="6"/>
        </w:pBdr>
        <w:spacing w:after="160" w:before="440"/>
      </w:pPr>
      <w:r>
        <w:rPr>
          <w:b/>
          <w:bCs/>
          <w:color w:val="8A5A2B"/>
          <w:sz w:val="26"/>
          <w:szCs w:val="26"/>
        </w:rPr>
        <w:t xml:space="preserve">13  </w:t>
      </w:r>
      <w:r>
        <w:rPr>
          <w:b/>
          <w:bCs/>
          <w:caps/>
          <w:color w:val="0F3D2E"/>
          <w:spacing w:val="10"/>
          <w:sz w:val="26"/>
          <w:szCs w:val="26"/>
        </w:rPr>
        <w:t xml:space="preserve">Roadmap &amp; Milestones</w:t>
      </w:r>
    </w:p>
    <w:p>
      <w:pPr>
        <w:spacing w:after="100" w:before="260"/>
      </w:pPr>
      <w:r>
        <w:rPr>
          <w:b/>
          <w:bCs/>
          <w:color w:val="121815"/>
          <w:sz w:val="22"/>
          <w:szCs w:val="22"/>
        </w:rPr>
        <w:t xml:space="preserve">Near-term</w:t>
      </w:r>
    </w:p>
    <w:p>
      <w:pPr>
        <w:pStyle w:val="ListParagraph"/>
        <w:numPr>
          <w:ilvl w:val="0"/>
          <w:numId w:val="2"/>
        </w:numPr>
        <w:spacing w:after="90"/>
      </w:pPr>
      <w:r>
        <w:rPr>
          <w:sz w:val="21"/>
          <w:szCs w:val="21"/>
        </w:rPr>
        <w:t xml:space="preserve">Convert active school conversations (including Mount Saint Joseph Catholic High School) into signed pilots.</w:t>
      </w:r>
    </w:p>
    <w:p>
      <w:pPr>
        <w:pStyle w:val="ListParagraph"/>
        <w:numPr>
          <w:ilvl w:val="0"/>
          <w:numId w:val="2"/>
        </w:numPr>
        <w:spacing w:after="90"/>
      </w:pPr>
      <w:r>
        <w:rPr>
          <w:sz w:val="21"/>
          <w:szCs w:val="21"/>
        </w:rPr>
        <w:t xml:space="preserve">Pursue non-dilutive and grant capital in parallel with this raise, including IGNITE grant candidacy.</w:t>
      </w:r>
    </w:p>
    <w:p>
      <w:pPr>
        <w:pStyle w:val="ListParagraph"/>
        <w:numPr>
          <w:ilvl w:val="0"/>
          <w:numId w:val="2"/>
        </w:numPr>
        <w:spacing w:after="90"/>
      </w:pPr>
      <w:r>
        <w:rPr>
          <w:sz w:val="21"/>
          <w:szCs w:val="21"/>
        </w:rPr>
        <w:t xml:space="preserve">Build relationships across the region through engagement with the One Caribbean Business Network (OCBN).</w:t>
      </w:r>
    </w:p>
    <w:p>
      <w:pPr>
        <w:spacing w:after="100" w:before="260"/>
      </w:pPr>
      <w:r>
        <w:rPr>
          <w:b/>
          <w:bCs/>
          <w:color w:val="121815"/>
          <w:sz w:val="22"/>
          <w:szCs w:val="22"/>
        </w:rPr>
        <w:t xml:space="preserve">Product roadmap</w:t>
      </w:r>
    </w:p>
    <w:p>
      <w:pPr>
        <w:pStyle w:val="ListParagraph"/>
        <w:numPr>
          <w:ilvl w:val="0"/>
          <w:numId w:val="2"/>
        </w:numPr>
        <w:spacing w:after="90"/>
      </w:pPr>
      <w:r>
        <w:rPr>
          <w:sz w:val="21"/>
          <w:szCs w:val="21"/>
        </w:rPr>
        <w:t xml:space="preserve">Student-created game modes — Jeopardy-style review games and crossword puzzles built from a teacher's own question bank, plus live Kahoot-style class sessions.</w:t>
      </w:r>
    </w:p>
    <w:p>
      <w:pPr>
        <w:pStyle w:val="ListParagraph"/>
        <w:numPr>
          <w:ilvl w:val="0"/>
          <w:numId w:val="2"/>
        </w:numPr>
        <w:spacing w:after="90"/>
      </w:pPr>
      <w:r>
        <w:rPr>
          <w:sz w:val="21"/>
          <w:szCs w:val="21"/>
        </w:rPr>
        <w:t xml:space="preserve">Multiplayer study sessions — students quiz each other live in a shared session.</w:t>
      </w:r>
    </w:p>
    <w:p>
      <w:pPr>
        <w:pStyle w:val="ListParagraph"/>
        <w:numPr>
          <w:ilvl w:val="0"/>
          <w:numId w:val="2"/>
        </w:numPr>
        <w:spacing w:after="90"/>
      </w:pPr>
      <w:r>
        <w:rPr>
          <w:sz w:val="21"/>
          <w:szCs w:val="21"/>
        </w:rPr>
        <w:t xml:space="preserve">Modern language mode — self-taught practice sessions for Spanish, French, and other languages, so students build real fluency between assessments, not just for them.</w:t>
      </w:r>
    </w:p>
    <w:p>
      <w:pPr>
        <w:pBdr>
          <w:bottom w:val="single" w:color="0F3D2E" w:sz="6" w:space="6"/>
        </w:pBdr>
        <w:spacing w:after="160" w:before="440"/>
      </w:pPr>
      <w:r>
        <w:rPr>
          <w:b/>
          <w:bCs/>
          <w:color w:val="8A5A2B"/>
          <w:sz w:val="26"/>
          <w:szCs w:val="26"/>
        </w:rPr>
        <w:t xml:space="preserve">14  </w:t>
      </w:r>
      <w:r>
        <w:rPr>
          <w:b/>
          <w:bCs/>
          <w:caps/>
          <w:color w:val="0F3D2E"/>
          <w:spacing w:val="10"/>
          <w:sz w:val="26"/>
          <w:szCs w:val="26"/>
        </w:rPr>
        <w:t xml:space="preserve">Contact</w:t>
      </w:r>
    </w:p>
    <w:p>
      <w:pPr>
        <w:spacing w:after="160"/>
      </w:pPr>
      <w:r>
        <w:rPr>
          <w:sz w:val="21"/>
          <w:szCs w:val="21"/>
        </w:rPr>
        <w:t xml:space="preserve">Steven Gordon, Founder</w:t>
      </w:r>
    </w:p>
    <w:p>
      <w:pPr>
        <w:spacing w:after="160"/>
      </w:pPr>
      <w:r>
        <w:rPr>
          <w:sz w:val="21"/>
          <w:szCs w:val="21"/>
        </w:rPr>
        <w:t xml:space="preserve">sales@smartassessja.com   ·   support@smartassessja.com   ·   smartassessja.com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2026-08-16T14:29:41.774Z</dcterms:created>
  <dcterms:modified xsi:type="dcterms:W3CDTF">2026-08-16T14:29:41.776Z</dcterms:modified>
</cp:coreProperties>
</file>

<file path=docProps/custom.xml><?xml version="1.0" encoding="utf-8"?>
<Properties xmlns="http://schemas.openxmlformats.org/officeDocument/2006/custom-properties" xmlns:vt="http://schemas.openxmlformats.org/officeDocument/2006/docPropsVTypes"/>
</file>