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ind w:left="3969"/>
        <w:jc w:val="right"/>
      </w:pPr>
      <w:r>
        <w:rPr>
          <w:b/>
          <w:i w:val="0"/>
          <w:sz w:val="20"/>
        </w:rPr>
        <w:t>SUMILLA: Solicitamos conformidad para el uso académico de información del SCOP, designación de especialistas validadores y reunión de presentación de resultados.</w:t>
      </w:r>
    </w:p>
    <w:p>
      <w:pPr>
        <w:spacing w:after="240"/>
        <w:jc w:val="right"/>
      </w:pPr>
      <w:r>
        <w:rPr>
          <w:b w:val="0"/>
          <w:i w:val="0"/>
        </w:rPr>
        <w:t>Lima, [día] de octubre de 2026</w:t>
      </w:r>
    </w:p>
    <w:p>
      <w:pPr>
        <w:spacing w:after="0"/>
      </w:pPr>
      <w:r>
        <w:rPr>
          <w:b w:val="0"/>
          <w:i w:val="0"/>
        </w:rPr>
        <w:t>Señor(a):</w:t>
      </w:r>
    </w:p>
    <w:p>
      <w:pPr>
        <w:spacing w:after="0"/>
      </w:pPr>
      <w:r>
        <w:rPr>
          <w:b/>
          <w:i w:val="0"/>
        </w:rPr>
        <w:t>[Nombres y apellidos]</w:t>
      </w:r>
    </w:p>
    <w:p>
      <w:pPr>
        <w:spacing w:after="0"/>
      </w:pPr>
      <w:r>
        <w:rPr>
          <w:b w:val="0"/>
          <w:i w:val="0"/>
        </w:rPr>
        <w:t>Jefe(a) de la División de Supervisión Regional</w:t>
      </w:r>
    </w:p>
    <w:p>
      <w:pPr>
        <w:spacing w:after="0"/>
      </w:pPr>
      <w:r>
        <w:rPr>
          <w:b w:val="0"/>
          <w:i w:val="0"/>
        </w:rPr>
        <w:t>Gerencia de Supervisión de Energía</w:t>
      </w:r>
    </w:p>
    <w:p>
      <w:pPr>
        <w:spacing w:after="0"/>
      </w:pPr>
      <w:r>
        <w:rPr>
          <w:b w:val="0"/>
          <w:i w:val="0"/>
        </w:rPr>
        <w:t>Organismo Supervisor de la Inversión en Energía y Minería – Osinergmin</w:t>
      </w:r>
    </w:p>
    <w:p>
      <w:pPr>
        <w:spacing w:after="200"/>
      </w:pPr>
      <w:r>
        <w:rPr>
          <w:b w:val="0"/>
          <w:i w:val="0"/>
        </w:rPr>
        <w:t>Presente.-</w:t>
      </w:r>
    </w:p>
    <w:p>
      <w:pPr>
        <w:spacing w:after="240"/>
        <w:ind w:left="1474" w:hanging="1474"/>
      </w:pPr>
      <w:r>
        <w:rPr>
          <w:b w:val="0"/>
          <w:i w:val="0"/>
        </w:rPr>
        <w:t>Referencia:</w:t>
        <w:tab/>
        <w:t>Exp. SIGED 202600212189 – Informe GSE/DSR-1875-2026, del 23 de septiembre de 2026</w:t>
      </w:r>
    </w:p>
    <w:p>
      <w:pPr>
        <w:spacing w:after="160"/>
      </w:pPr>
      <w:r>
        <w:rPr>
          <w:b w:val="0"/>
          <w:i w:val="0"/>
        </w:rPr>
        <w:t>De nuestra consideración:</w:t>
      </w:r>
    </w:p>
    <w:p>
      <w:pPr>
        <w:jc w:val="both"/>
      </w:pPr>
      <w:r>
        <w:rPr>
          <w:b w:val="0"/>
          <w:i w:val="0"/>
        </w:rPr>
        <w:t>Es grato dirigirnos a usted para saludarle cordialmente. Somos David Edison Guerra Ordoñez, Richard [nombre como figura en el DNI] Yanqui Inocente y Kevin Javier Tello Rivas, estudiantes de la Escuela Profesional de Ingeniería de Sistemas de la Universidad Peruana Unión, identificados con DNI N.° [ ], [ ] y [ ], respectivamente, y desarrollamos la tesis titulada «Modelo de clasificación supervisada para la priorización de establecimientos de venta de combustibles según su probabilidad de variación de precios», bajo la asesoría de [grado, nombres y apellidos del asesor].</w:t>
      </w:r>
    </w:p>
    <w:p>
      <w:pPr>
        <w:jc w:val="both"/>
      </w:pPr>
      <w:r>
        <w:rPr>
          <w:b w:val="0"/>
          <w:i w:val="0"/>
        </w:rPr>
        <w:t>Mediante el documento de la referencia, su representada atendió nuestra solicitud de acceso a la información pública e indicó que los precios de los combustibles se encuentran publicados en el portal institucional, conforme al artículo 17 del Procedimiento de entrega de información sobre Precios del Mercado Interno de Combustibles Derivados de Hidrocarburos (PRICE), aprobado por Resolución de Consejo Directivo N.° 256-2021-OS/CD. Con esa información, correspondiente al Registro de Precios del SCOP entre el 13 de marzo de 2020 y el 24 de septiembre de 2026 para cinco combustibles (diésel B5 S-50, gasolina regular, gasolina premium, GLP envasado de 10 kg y GLP a granel), hemos construido un método que ordena diariamente los establecimientos de venta al público según la probabilidad de que su precio cambie en los cinco días siguientes, como apoyo a la planificación de actividades de supervisión. El método no determina incumplimientos ni reemplaza los criterios técnicos de la entidad.</w:t>
      </w:r>
    </w:p>
    <w:p>
      <w:pPr>
        <w:jc w:val="both"/>
      </w:pPr>
      <w:r>
        <w:rPr>
          <w:b w:val="0"/>
          <w:i w:val="0"/>
        </w:rPr>
        <w:t>En el tratamiento de la información, el código de registro de cada establecimiento se reemplazó por un seudónimo; el RUC, la razón social y la dirección no se utilizan en el análisis; no se identifica a personas naturales; y los resultados se reportan de forma agregada.</w:t>
      </w:r>
    </w:p>
    <w:p>
      <w:pPr>
        <w:jc w:val="both"/>
      </w:pPr>
      <w:r>
        <w:rPr>
          <w:b w:val="0"/>
          <w:i w:val="0"/>
        </w:rPr>
        <w:t>Si bien la información es de acceso público, por buenas prácticas de investigación y respeto a la institución que la administra, solicitamos a usted lo siguiente:</w:t>
      </w:r>
    </w:p>
    <w:p>
      <w:pPr>
        <w:spacing w:after="60"/>
        <w:ind w:left="624" w:hanging="283"/>
        <w:jc w:val="both"/>
      </w:pPr>
      <w:r>
        <w:rPr>
          <w:b w:val="0"/>
          <w:i w:val="0"/>
        </w:rPr>
        <w:t xml:space="preserve">1. </w:t>
      </w:r>
      <w:r>
        <w:rPr>
          <w:b/>
          <w:i w:val="0"/>
        </w:rPr>
        <w:t>Conformidad para el uso de la información con fines exclusivamente académicos</w:t>
      </w:r>
      <w:r>
        <w:rPr>
          <w:b w:val="0"/>
          <w:i w:val="0"/>
        </w:rPr>
        <w:t xml:space="preserve"> (tesis de pregrado y un artículo científico), y que se nos indique, de ser el caso: a) si la conformidad comprende toda la información o solo determinados campos, productos o periodos; b) si los resultados pueden publicarse y con qué nivel de detalle (nacional, regional o por establecimiento); c) la forma en que debe citarse a Osinergmin como fuente; d) si en el prototipo de demostración pueden mostrarse las razones sociales de personas jurídicas o debe usarse únicamente el seudónimo; y e) cualquier otra condición que considere pertinente.</w:t>
      </w:r>
    </w:p>
    <w:p>
      <w:pPr>
        <w:spacing w:after="60"/>
        <w:ind w:left="624" w:hanging="283"/>
        <w:jc w:val="both"/>
      </w:pPr>
      <w:r>
        <w:rPr>
          <w:b w:val="0"/>
          <w:i w:val="0"/>
        </w:rPr>
        <w:t xml:space="preserve">2. </w:t>
      </w:r>
      <w:r>
        <w:rPr>
          <w:b/>
          <w:i w:val="0"/>
        </w:rPr>
        <w:t>La designación de uno o más especialistas como expertos validadores</w:t>
      </w:r>
      <w:r>
        <w:rPr>
          <w:b w:val="0"/>
          <w:i w:val="0"/>
        </w:rPr>
        <w:t>, para participar en una validación por juicio de expertos (método Delphi) de dos rondas, con un cuestionario breve de aproximadamente 30 minutos cada una. Sus respuestas se analizarán de forma agregada y anónima.</w:t>
      </w:r>
    </w:p>
    <w:p>
      <w:pPr>
        <w:spacing w:after="60"/>
        <w:ind w:left="624" w:hanging="283"/>
        <w:jc w:val="both"/>
      </w:pPr>
      <w:r>
        <w:rPr>
          <w:b w:val="0"/>
          <w:i w:val="0"/>
        </w:rPr>
        <w:t xml:space="preserve">3. </w:t>
      </w:r>
      <w:r>
        <w:rPr>
          <w:b/>
          <w:i w:val="0"/>
        </w:rPr>
        <w:t>Una reunión de aproximadamente 45 minutos</w:t>
      </w:r>
      <w:r>
        <w:rPr>
          <w:b w:val="0"/>
          <w:i w:val="0"/>
        </w:rPr>
        <w:t>, virtual o presencial, para presentar el método y su prototipo de consulta, y recoger sus observaciones.</w:t>
      </w:r>
    </w:p>
    <w:p>
      <w:pPr>
        <w:spacing w:before="80"/>
        <w:jc w:val="both"/>
      </w:pPr>
      <w:r>
        <w:rPr>
          <w:b w:val="0"/>
          <w:i w:val="0"/>
        </w:rPr>
        <w:t>Por nuestra parte, nos comprometemos a utilizar la información sin fines comerciales, a no redistribuir las bases de datos, a respetar las condiciones que se nos indiquen, a precisar en las publicaciones que las opiniones y resultados son de exclusiva responsabilidad de los autores y no representan la posición de Osinergmin, y a entregar una copia del documento final.</w:t>
      </w:r>
    </w:p>
    <w:p>
      <w:pPr>
        <w:jc w:val="both"/>
      </w:pPr>
      <w:r>
        <w:rPr>
          <w:b w:val="0"/>
          <w:i w:val="0"/>
        </w:rPr>
        <w:t>Adjuntamos un resumen ejecutivo del proyecto y [la carta de presentación de la universidad o del asesor]. Para cualquier coordinación, puede comunicarse con nosotros al correo [correo] o al teléfono [teléfono].</w:t>
      </w:r>
    </w:p>
    <w:p>
      <w:pPr>
        <w:spacing w:after="120"/>
        <w:jc w:val="both"/>
      </w:pPr>
      <w:r>
        <w:rPr>
          <w:b w:val="0"/>
          <w:i w:val="0"/>
        </w:rPr>
        <w:t>Agradeciendo de antemano la atención a la presente, quedamos de usted.</w:t>
      </w:r>
    </w:p>
    <w:p>
      <w:pPr>
        <w:spacing w:after="800"/>
      </w:pPr>
      <w:r>
        <w:rPr>
          <w:b w:val="0"/>
          <w:i w:val="0"/>
        </w:rPr>
        <w:t>Atentamente,</w:t>
      </w:r>
    </w:p>
    <w:tbl>
      <w:tblPr>
        <w:tblW w:type="auto" w:w="0"/>
        <w:tblLook w:firstColumn="1" w:firstRow="1" w:lastColumn="0" w:lastRow="0" w:noHBand="0" w:noVBand="1" w:val="04A0"/>
      </w:tblPr>
      <w:tblGrid>
        <w:gridCol w:w="3024"/>
        <w:gridCol w:w="3024"/>
        <w:gridCol w:w="3024"/>
      </w:tblGrid>
      <w:tr>
        <w:tc>
          <w:tcPr>
            <w:tcW w:type="dxa" w:w="3024"/>
          </w:tcPr>
          <w:p>
            <w:pPr>
              <w:jc w:val="center"/>
            </w:pPr>
            <w:r/>
            <w:r>
              <w:rPr>
                <w:sz w:val="19"/>
              </w:rPr>
              <w:t>______________________</w:t>
            </w:r>
          </w:p>
        </w:tc>
        <w:tc>
          <w:tcPr>
            <w:tcW w:type="dxa" w:w="3024"/>
          </w:tcPr>
          <w:p>
            <w:pPr>
              <w:jc w:val="center"/>
            </w:pPr>
            <w:r/>
            <w:r>
              <w:rPr>
                <w:sz w:val="19"/>
              </w:rPr>
              <w:t>______________________</w:t>
            </w:r>
          </w:p>
        </w:tc>
        <w:tc>
          <w:tcPr>
            <w:tcW w:type="dxa" w:w="3024"/>
          </w:tcPr>
          <w:p>
            <w:pPr>
              <w:jc w:val="center"/>
            </w:pPr>
            <w:r/>
            <w:r>
              <w:rPr>
                <w:sz w:val="19"/>
              </w:rPr>
              <w:t>______________________</w:t>
            </w:r>
          </w:p>
        </w:tc>
      </w:tr>
      <w:tr>
        <w:tc>
          <w:tcPr>
            <w:tcW w:type="dxa" w:w="3024"/>
          </w:tcPr>
          <w:p>
            <w:pPr>
              <w:jc w:val="center"/>
            </w:pPr>
            <w:r/>
            <w:r>
              <w:rPr>
                <w:sz w:val="19"/>
              </w:rPr>
              <w:t>David Edison Guerra Ordoñez</w:t>
              <w:br/>
              <w:t>DNI N.° [ ]</w:t>
            </w:r>
          </w:p>
        </w:tc>
        <w:tc>
          <w:tcPr>
            <w:tcW w:type="dxa" w:w="3024"/>
          </w:tcPr>
          <w:p>
            <w:pPr>
              <w:jc w:val="center"/>
            </w:pPr>
            <w:r/>
            <w:r>
              <w:rPr>
                <w:sz w:val="19"/>
              </w:rPr>
              <w:t>Richard [ ] Yanqui Inocente</w:t>
              <w:br/>
              <w:t>DNI N.° [ ]</w:t>
            </w:r>
          </w:p>
        </w:tc>
        <w:tc>
          <w:tcPr>
            <w:tcW w:type="dxa" w:w="3024"/>
          </w:tcPr>
          <w:p>
            <w:pPr>
              <w:jc w:val="center"/>
            </w:pPr>
            <w:r/>
            <w:r>
              <w:rPr>
                <w:sz w:val="19"/>
              </w:rPr>
              <w:t>Kevin Javier Tello Rivas</w:t>
              <w:br/>
              <w:t>DNI N.° [ ]</w:t>
            </w:r>
          </w:p>
        </w:tc>
      </w:tr>
    </w:tbl>
    <w:p>
      <w:pPr>
        <w:spacing w:after="600"/>
      </w:pPr>
    </w:p>
    <w:p>
      <w:pPr>
        <w:spacing w:after="0"/>
        <w:jc w:val="center"/>
      </w:pPr>
      <w:r>
        <w:rPr>
          <w:b w:val="0"/>
          <w:i w:val="0"/>
        </w:rPr>
        <w:t>______________________</w:t>
      </w:r>
    </w:p>
    <w:p>
      <w:pPr>
        <w:spacing w:after="0"/>
        <w:jc w:val="center"/>
      </w:pPr>
      <w:r>
        <w:rPr>
          <w:b w:val="0"/>
          <w:i w:val="0"/>
          <w:sz w:val="19"/>
        </w:rPr>
        <w:t>V.° B.° [Nombres y apellidos del asesor]</w:t>
      </w:r>
    </w:p>
    <w:p>
      <w:pPr>
        <w:spacing w:after="280"/>
        <w:jc w:val="center"/>
      </w:pPr>
      <w:r>
        <w:rPr>
          <w:b w:val="0"/>
          <w:i w:val="0"/>
          <w:sz w:val="19"/>
        </w:rPr>
        <w:t>Asesor de tesis – Universidad Peruana Unión</w:t>
      </w:r>
    </w:p>
    <w:p>
      <w:r>
        <w:rPr>
          <w:b w:val="0"/>
          <w:i/>
          <w:sz w:val="19"/>
        </w:rPr>
        <w:t>Adjuntos: (1) Resumen ejecutivo del proyecto (1 página). (2) [Carta de presentación de la universidad o del asesor].</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