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0000"/>
          <w:sz w:val="30"/>
        </w:rPr>
        <w:t>DICCIONARIO METODOLÓGICO DE VARIABLES DEL MODELO PREDICTIVO SCOP</w:t>
      </w:r>
    </w:p>
    <w:p>
      <w:pPr>
        <w:spacing w:after="280"/>
        <w:jc w:val="center"/>
      </w:pPr>
      <w:r>
        <w:rPr>
          <w:i/>
          <w:color w:val="000000"/>
          <w:sz w:val="22"/>
        </w:rPr>
        <w:t>Definición Formal, Operacionalización, Estadísticos Descriptivos y Relevancia Empírica</w:t>
      </w:r>
    </w:p>
    <w:p>
      <w:pPr>
        <w:spacing w:after="240"/>
      </w:pPr>
      <w:r>
        <w:rPr>
          <w:b/>
        </w:rPr>
        <w:t xml:space="preserve">Caso de Estudio: </w:t>
      </w:r>
      <w:r>
        <w:t>Registro de Precios del Sistema de Control de Órdenes de Pedido (SCOP – Osinergmin, Perú)</w:t>
        <w:br/>
      </w:r>
      <w:r>
        <w:rPr>
          <w:b/>
        </w:rPr>
        <w:t xml:space="preserve">Matriz de Datos: </w:t>
      </w:r>
      <w:r>
        <w:t>Panel longitudinal reconstruido de 39,080,122 observaciones (marzo 2020 – septiembre 2026)</w:t>
        <w:br/>
      </w:r>
      <w:r>
        <w:rPr>
          <w:b/>
        </w:rPr>
        <w:t xml:space="preserve">Uso Académico: </w:t>
      </w:r>
      <w:r>
        <w:t>Sustentación formal para revisión del Asesor y Jurado de Tesis.</w:t>
      </w:r>
    </w:p>
    <w:p>
      <w:pPr>
        <w:pStyle w:val="Heading1"/>
        <w:keepNext/>
        <w:spacing w:before="280" w:after="120"/>
      </w:pPr>
      <w:r>
        <w:rPr>
          <w:rFonts w:ascii="Calibri" w:hAnsi="Calibri"/>
          <w:b/>
          <w:color w:val="000000"/>
          <w:sz w:val="28"/>
        </w:rPr>
        <w:t>1. Definición Formal de la Variable Dependiente (Target)</w:t>
      </w:r>
    </w:p>
    <w:tbl>
      <w:tblPr>
        <w:tblW w:type="auto" w:w="0"/>
        <w:jc w:val="center"/>
        <w:tblLayout w:type="fixed"/>
        <w:tblLook w:firstColumn="1" w:firstRow="1" w:lastColumn="0" w:lastRow="0" w:noHBand="0" w:noVBand="1" w:val="04A0"/>
      </w:tblPr>
      <w:tblGrid>
        <w:gridCol w:w="4680"/>
        <w:gridCol w:w="4680"/>
      </w:tblGrid>
      <w:tr>
        <w:tc>
          <w:tcPr>
            <w:tcW w:type="dxa" w:w="3168"/>
            <w:tcBorders>
              <w:top w:sz="4" w:val="single" w:color="000000"/>
              <w:bottom w:sz="4" w:val="single" w:color="000000"/>
            </w:tcBorders>
          </w:tcPr>
          <w:p>
            <w:r>
              <w:rPr>
                <w:b/>
                <w:sz w:val="20"/>
              </w:rPr>
              <w:t>Nombre en Código</w:t>
            </w:r>
          </w:p>
        </w:tc>
        <w:tc>
          <w:tcPr>
            <w:tcW w:type="dxa" w:w="6192"/>
            <w:tcBorders>
              <w:top w:sz="4" w:val="single" w:color="000000"/>
              <w:bottom w:sz="4" w:val="single" w:color="000000"/>
            </w:tcBorders>
          </w:tcPr>
          <w:p>
            <w:r>
              <w:rPr>
                <w:sz w:val="20"/>
              </w:rPr>
              <w:t>cambia</w:t>
            </w:r>
          </w:p>
        </w:tc>
      </w:tr>
      <w:tr>
        <w:tc>
          <w:tcPr>
            <w:tcW w:type="dxa" w:w="3168"/>
            <w:tcBorders>
              <w:top w:sz="4" w:val="single" w:color="000000"/>
              <w:bottom w:sz="4" w:val="single" w:color="000000"/>
            </w:tcBorders>
          </w:tcPr>
          <w:p>
            <w:r>
              <w:rPr>
                <w:b/>
                <w:sz w:val="20"/>
              </w:rPr>
              <w:t>Símbolo Matemático</w:t>
            </w:r>
          </w:p>
        </w:tc>
        <w:tc>
          <w:tcPr>
            <w:tcW w:type="dxa" w:w="6192"/>
            <w:tcBorders>
              <w:top w:sz="4" w:val="single" w:color="000000"/>
              <w:bottom w:sz="4" w:val="single" w:color="000000"/>
            </w:tcBorders>
          </w:tcPr>
          <w:p>
            <w:r>
              <w:rPr>
                <w:sz w:val="20"/>
              </w:rPr>
              <w:t>Y_{i,c,t} ∈ {0, 1}</w:t>
            </w:r>
          </w:p>
        </w:tc>
      </w:tr>
      <w:tr>
        <w:tc>
          <w:tcPr>
            <w:tcW w:type="dxa" w:w="3168"/>
            <w:tcBorders>
              <w:top w:sz="4" w:val="single" w:color="000000"/>
              <w:bottom w:sz="4" w:val="single" w:color="000000"/>
            </w:tcBorders>
          </w:tcPr>
          <w:p>
            <w:r>
              <w:rPr>
                <w:b/>
                <w:sz w:val="20"/>
              </w:rPr>
              <w:t>Definición Operacional</w:t>
            </w:r>
          </w:p>
        </w:tc>
        <w:tc>
          <w:tcPr>
            <w:tcW w:type="dxa" w:w="6192"/>
            <w:tcBorders>
              <w:top w:sz="4" w:val="single" w:color="000000"/>
              <w:bottom w:sz="4" w:val="single" w:color="000000"/>
            </w:tcBorders>
          </w:tcPr>
          <w:p>
            <w:r>
              <w:rPr>
                <w:sz w:val="20"/>
              </w:rPr>
              <w:t>Indicador binario que registra si el establecimiento i modifica el precio del combustible c en algún momento dentro de los próximos 5 días calendario posteriores al día de predicción t.</w:t>
            </w:r>
          </w:p>
        </w:tc>
      </w:tr>
      <w:tr>
        <w:tc>
          <w:tcPr>
            <w:tcW w:type="dxa" w:w="3168"/>
            <w:tcBorders>
              <w:top w:sz="4" w:val="single" w:color="000000"/>
              <w:bottom w:sz="4" w:val="single" w:color="000000"/>
            </w:tcBorders>
          </w:tcPr>
          <w:p>
            <w:r>
              <w:rPr>
                <w:b/>
                <w:sz w:val="20"/>
              </w:rPr>
              <w:t>Horizonte Temporal (H)</w:t>
            </w:r>
          </w:p>
        </w:tc>
        <w:tc>
          <w:tcPr>
            <w:tcW w:type="dxa" w:w="6192"/>
            <w:tcBorders>
              <w:top w:sz="4" w:val="single" w:color="000000"/>
              <w:bottom w:sz="4" w:val="single" w:color="000000"/>
            </w:tcBorders>
          </w:tcPr>
          <w:p>
            <w:r>
              <w:rPr>
                <w:sz w:val="20"/>
              </w:rPr>
              <w:t>5 días calendario continuos (semana laboral estándar de supervisión).</w:t>
            </w:r>
          </w:p>
        </w:tc>
      </w:tr>
      <w:tr>
        <w:tc>
          <w:tcPr>
            <w:tcW w:type="dxa" w:w="3168"/>
            <w:tcBorders>
              <w:top w:sz="4" w:val="single" w:color="000000"/>
              <w:bottom w:sz="4" w:val="single" w:color="000000"/>
            </w:tcBorders>
          </w:tcPr>
          <w:p>
            <w:r>
              <w:rPr>
                <w:b/>
                <w:sz w:val="20"/>
              </w:rPr>
              <w:t>Justificación del Horizonte</w:t>
            </w:r>
          </w:p>
        </w:tc>
        <w:tc>
          <w:tcPr>
            <w:tcW w:type="dxa" w:w="6192"/>
            <w:tcBorders>
              <w:top w:sz="4" w:val="single" w:color="000000"/>
              <w:bottom w:sz="4" w:val="single" w:color="000000"/>
            </w:tcBorders>
          </w:tcPr>
          <w:p>
            <w:r>
              <w:rPr>
                <w:sz w:val="20"/>
              </w:rPr>
              <w:t>Una ventana de 24 horas es insuficiente para la logística de inspección de Osinergmin; una ventana de 30 días diluye la especificidad de programación. 5 días equilibra la reacción logística con una tasa base informativa.</w:t>
            </w:r>
          </w:p>
        </w:tc>
      </w:tr>
      <w:tr>
        <w:tc>
          <w:tcPr>
            <w:tcW w:type="dxa" w:w="3168"/>
            <w:tcBorders>
              <w:top w:sz="4" w:val="single" w:color="000000"/>
              <w:bottom w:sz="4" w:val="single" w:color="000000"/>
            </w:tcBorders>
          </w:tcPr>
          <w:p>
            <w:r>
              <w:rPr>
                <w:b/>
                <w:sz w:val="20"/>
              </w:rPr>
              <w:t>Tasa Base Empírica</w:t>
            </w:r>
          </w:p>
        </w:tc>
        <w:tc>
          <w:tcPr>
            <w:tcW w:type="dxa" w:w="6192"/>
            <w:tcBorders>
              <w:top w:sz="4" w:val="single" w:color="000000"/>
              <w:bottom w:sz="4" w:val="single" w:color="000000"/>
            </w:tcBorders>
          </w:tcPr>
          <w:p>
            <w:r>
              <w:rPr>
                <w:sz w:val="20"/>
              </w:rPr>
              <w:t>• Año 2025 (Validación 12 bloques): 13.12% de positivos (aprox. 1 de cada 8 casos cambia).</w:t>
              <w:br/>
              <w:t>• Año 2026 (Prueba operativa 262 días): 32.61% promedio (periodo de alta volatilidad macroeconómica).</w:t>
            </w:r>
          </w:p>
        </w:tc>
      </w:tr>
      <w:tr>
        <w:tc>
          <w:tcPr>
            <w:tcW w:type="dxa" w:w="3168"/>
            <w:tcBorders>
              <w:top w:sz="4" w:val="single" w:color="000000"/>
              <w:bottom w:sz="4" w:val="single" w:color="000000"/>
            </w:tcBorders>
          </w:tcPr>
          <w:p>
            <w:r>
              <w:rPr>
                <w:b/>
                <w:sz w:val="20"/>
              </w:rPr>
              <w:t>Regla de Continuidad</w:t>
            </w:r>
          </w:p>
        </w:tc>
        <w:tc>
          <w:tcPr>
            <w:tcW w:type="dxa" w:w="6192"/>
            <w:tcBorders>
              <w:top w:sz="4" w:val="single" w:color="000000"/>
              <w:bottom w:sz="4" w:val="single" w:color="000000"/>
            </w:tcBorders>
          </w:tcPr>
          <w:p>
            <w:r>
              <w:rPr>
                <w:sz w:val="20"/>
              </w:rPr>
              <w:t>Arrastre (Forward-Fill) de 60 días: El último precio oficial reportado permanece activo hasta un máximo de 60 días sin nuevo reporte, momento en que el local pasa a inactivo.</w:t>
            </w:r>
          </w:p>
        </w:tc>
      </w:tr>
      <w:tr>
        <w:tc>
          <w:tcPr>
            <w:tcW w:type="dxa" w:w="3168"/>
            <w:tcBorders>
              <w:top w:sz="4" w:val="single" w:color="000000"/>
              <w:bottom w:sz="4" w:val="single" w:color="000000"/>
            </w:tcBorders>
          </w:tcPr>
          <w:p>
            <w:r>
              <w:rPr>
                <w:b/>
                <w:sz w:val="20"/>
              </w:rPr>
              <w:t>Purga Temporal Antifuga</w:t>
            </w:r>
          </w:p>
        </w:tc>
        <w:tc>
          <w:tcPr>
            <w:tcW w:type="dxa" w:w="6192"/>
            <w:tcBorders>
              <w:top w:sz="4" w:val="single" w:color="000000"/>
              <w:bottom w:sz="4" w:val="single" w:color="000000"/>
            </w:tcBorders>
          </w:tcPr>
          <w:p>
            <w:r>
              <w:rPr>
                <w:sz w:val="20"/>
              </w:rPr>
              <w:t>Purga obligatoria de 6 días (H + 1): Intervalo de separación ciego entre el último día de entrenamiento y el primer día evaluado para garantizar cero fuga de datos (zero data leakage).</w:t>
            </w:r>
          </w:p>
        </w:tc>
      </w:tr>
    </w:tbl>
    <w:p>
      <w:pPr>
        <w:spacing w:after="160"/>
      </w:pPr>
    </w:p>
    <w:p>
      <w:pPr>
        <w:pStyle w:val="Heading1"/>
        <w:keepNext/>
        <w:spacing w:before="280" w:after="120"/>
      </w:pPr>
      <w:r>
        <w:rPr>
          <w:rFonts w:ascii="Calibri" w:hAnsi="Calibri"/>
          <w:b/>
          <w:color w:val="000000"/>
          <w:sz w:val="28"/>
        </w:rPr>
        <w:t>2. Estructura del Vector de Entrada y Dimensiones Analíticas</w:t>
      </w:r>
    </w:p>
    <w:p>
      <w:r>
        <w:t xml:space="preserve">El espacio de características predictivas está compuesto por un vector de </w:t>
      </w:r>
      <w:r>
        <w:rPr>
          <w:b/>
        </w:rPr>
        <w:t>29 variables continuas, de conteo y categóricas</w:t>
      </w:r>
      <w:r>
        <w:t xml:space="preserve"> organizadas en 4 dimensiones estratégicas:</w:t>
      </w:r>
    </w:p>
    <w:p>
      <w:pPr>
        <w:spacing w:after="80"/>
      </w:pPr>
      <w:r>
        <w:rPr>
          <w:b/>
        </w:rPr>
        <w:t xml:space="preserve">• Dimensión I: Inercia y Dinámica Temporal (10 variables): </w:t>
      </w:r>
      <w:r>
        <w:t>Cuantifican el patrón histórico de rigidez o hiperactividad de precios del establecimiento, la velocidad de ajuste y la tendencia direccional acumulada (alzas frente a bajas). Incluye la formulación del Hazard rate ('anomalia_espera').</w:t>
      </w:r>
    </w:p>
    <w:p>
      <w:pPr>
        <w:spacing w:after="80"/>
      </w:pPr>
      <w:r>
        <w:rPr>
          <w:b/>
        </w:rPr>
        <w:t xml:space="preserve">• Dimensión II: Señales de Mercado y Macroeconómicas (8 variables): </w:t>
      </w:r>
      <w:r>
        <w:t>Capturan el entorno agregado nacional, midiendo shocks diarios en el promedio del país, la desviación relativa del precio del grifo frente a sus pares y la volatilidad longitudinal.</w:t>
      </w:r>
    </w:p>
    <w:p>
      <w:pPr>
        <w:spacing w:after="80"/>
      </w:pPr>
      <w:r>
        <w:rPr>
          <w:b/>
        </w:rPr>
        <w:t xml:space="preserve">• Dimensión III: Presión Competitiva Espacial y Geográfica (5 variables): </w:t>
      </w:r>
      <w:r>
        <w:t>Evalúan la presión del entorno geográfico inmediato, computando el porcentaje de competidores de la misma provincia y departamento que ya ajustaron precios.</w:t>
      </w:r>
    </w:p>
    <w:p>
      <w:pPr>
        <w:spacing w:after="80"/>
      </w:pPr>
      <w:r>
        <w:rPr>
          <w:b/>
        </w:rPr>
        <w:t xml:space="preserve">• Dimensión IV: Estructurales, Identidad y Calendario (6 variables): </w:t>
      </w:r>
      <w:r>
        <w:t>Codifican la naturaleza fisicoquímica del combustible (5 familias), la tipología de negocio, la variedad de productos comercializados y los ciclos logísticos semanales y estacionales.</w:t>
      </w:r>
    </w:p>
    <w:p>
      <w:pPr>
        <w:pStyle w:val="Heading2"/>
        <w:keepNext/>
        <w:spacing w:before="200" w:after="80"/>
      </w:pPr>
      <w:r>
        <w:rPr>
          <w:rFonts w:ascii="Calibri" w:hAnsi="Calibri"/>
          <w:b/>
          <w:color w:val="000000"/>
          <w:sz w:val="24"/>
        </w:rPr>
        <w:t>3. Formulación Matemática de la 'Anomalía de Espera' (Hazard Rate)</w:t>
      </w:r>
    </w:p>
    <w:p>
      <w:r>
        <w:t xml:space="preserve">La variable </w:t>
      </w:r>
      <w:r>
        <w:rPr>
          <w:b/>
        </w:rPr>
        <w:t>anomalia_espera</w:t>
      </w:r>
      <w:r>
        <w:t xml:space="preserve"> modela la tasa de riesgo condicional (hazard rate) del establecimiento. Si un grifo cambia en promedio cada 15 días y hoy acumula 30 días estático, su probabilidad de cambio inminente se incrementa considerablemente:</w:t>
      </w:r>
    </w:p>
    <w:p>
      <w:pPr>
        <w:spacing w:before="80" w:after="120"/>
        <w:jc w:val="center"/>
      </w:pPr>
      <w:r>
        <w:rPr>
          <w:b/>
        </w:rPr>
        <w:t>anomalia_espera[i, t] = ( dias_sin_cambio[i, t] × ( n_cambios_90[i, t] + 1 ) ) / 90</w:t>
      </w:r>
    </w:p>
    <w:p>
      <w:r>
        <w:t xml:space="preserve">En la auditoría de importancia por permutación de características (Sección 19), esta formulación resultó ser la </w:t>
      </w:r>
      <w:r>
        <w:rPr>
          <w:b/>
        </w:rPr>
        <w:t>quinta variable con mayor poder discriminante de toda la tesis</w:t>
      </w:r>
      <w:r>
        <w:t xml:space="preserve"> (caída de AUC = +0.00478), superando a indicadores de precios tradicionales.</w:t>
      </w:r>
    </w:p>
    <w:p>
      <w:pPr>
        <w:pStyle w:val="Heading1"/>
        <w:keepNext/>
        <w:spacing w:before="280" w:after="120"/>
      </w:pPr>
      <w:r>
        <w:rPr>
          <w:rFonts w:ascii="Calibri" w:hAnsi="Calibri"/>
          <w:b/>
          <w:color w:val="000000"/>
          <w:sz w:val="28"/>
        </w:rPr>
        <w:t>4. Tabla Maestra de las 29 Variables Predictivas</w:t>
      </w:r>
    </w:p>
    <w:p>
      <w:pPr>
        <w:spacing w:after="120"/>
      </w:pPr>
      <w:r>
        <w:rPr>
          <w:b/>
        </w:rPr>
        <w:t xml:space="preserve">Nota: </w:t>
      </w:r>
      <w:r>
        <w:t>Ordenadas de mayor a menor importancia según la caída media de AUC en la prueba de permutación fuera de muestra. Valores sin escalamiento para preservar interpretabilidad física.</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76"/>
            <w:tcBorders>
              <w:top w:sz="8" w:val="single" w:color="000000"/>
              <w:bottom w:sz="6" w:val="single" w:color="000000"/>
            </w:tcBorders>
          </w:tcPr>
          <w:p>
            <w:pPr>
              <w:jc w:val="center"/>
            </w:pPr>
            <w:r>
              <w:rPr>
                <w:b/>
                <w:sz w:val="18"/>
              </w:rPr>
              <w:t>#</w:t>
            </w:r>
          </w:p>
        </w:tc>
        <w:tc>
          <w:tcPr>
            <w:tcW w:type="dxa" w:w="2592"/>
            <w:tcBorders>
              <w:top w:sz="8" w:val="single" w:color="000000"/>
              <w:bottom w:sz="6" w:val="single" w:color="000000"/>
            </w:tcBorders>
          </w:tcPr>
          <w:p>
            <w:r>
              <w:rPr>
                <w:b/>
                <w:sz w:val="18"/>
              </w:rPr>
              <w:t>Variable</w:t>
            </w:r>
          </w:p>
        </w:tc>
        <w:tc>
          <w:tcPr>
            <w:tcW w:type="dxa" w:w="1728"/>
            <w:tcBorders>
              <w:top w:sz="8" w:val="single" w:color="000000"/>
              <w:bottom w:sz="6" w:val="single" w:color="000000"/>
            </w:tcBorders>
          </w:tcPr>
          <w:p>
            <w:r>
              <w:rPr>
                <w:b/>
                <w:sz w:val="18"/>
              </w:rPr>
              <w:t>Dimensión</w:t>
            </w:r>
          </w:p>
        </w:tc>
        <w:tc>
          <w:tcPr>
            <w:tcW w:type="dxa" w:w="1440"/>
            <w:tcBorders>
              <w:top w:sz="8" w:val="single" w:color="000000"/>
              <w:bottom w:sz="6" w:val="single" w:color="000000"/>
            </w:tcBorders>
          </w:tcPr>
          <w:p>
            <w:r>
              <w:rPr>
                <w:b/>
                <w:sz w:val="18"/>
              </w:rPr>
              <w:t>Tipo</w:t>
            </w:r>
          </w:p>
        </w:tc>
        <w:tc>
          <w:tcPr>
            <w:tcW w:type="dxa" w:w="864"/>
            <w:tcBorders>
              <w:top w:sz="8" w:val="single" w:color="000000"/>
              <w:bottom w:sz="6" w:val="single" w:color="000000"/>
            </w:tcBorders>
          </w:tcPr>
          <w:p>
            <w:pPr>
              <w:jc w:val="center"/>
            </w:pPr>
            <w:r>
              <w:rPr>
                <w:b/>
                <w:sz w:val="18"/>
              </w:rPr>
              <w:t>dtype</w:t>
            </w:r>
          </w:p>
        </w:tc>
        <w:tc>
          <w:tcPr>
            <w:tcW w:type="dxa" w:w="1584"/>
            <w:tcBorders>
              <w:top w:sz="8" w:val="single" w:color="000000"/>
              <w:bottom w:sz="6" w:val="single" w:color="000000"/>
            </w:tcBorders>
          </w:tcPr>
          <w:p>
            <w:r>
              <w:rPr>
                <w:b/>
                <w:sz w:val="18"/>
              </w:rPr>
              <w:t>Rango / Valores</w:t>
            </w:r>
          </w:p>
        </w:tc>
        <w:tc>
          <w:tcPr>
            <w:tcW w:type="dxa" w:w="1008"/>
            <w:tcBorders>
              <w:top w:sz="8" w:val="single" w:color="000000"/>
              <w:bottom w:sz="6" w:val="single" w:color="000000"/>
            </w:tcBorders>
          </w:tcPr>
          <w:p>
            <w:pPr>
              <w:jc w:val="center"/>
            </w:pPr>
            <w:r>
              <w:rPr>
                <w:b/>
                <w:sz w:val="18"/>
              </w:rPr>
              <w:t>Caída AUC</w:t>
            </w:r>
          </w:p>
        </w:tc>
      </w:tr>
      <w:tr>
        <w:tc>
          <w:tcPr>
            <w:tcW w:type="dxa" w:w="576"/>
            <w:tcBorders>
              <w:bottom w:sz="2" w:val="single" w:color="CCCCCC"/>
            </w:tcBorders>
          </w:tcPr>
          <w:p>
            <w:pPr>
              <w:jc w:val="center"/>
            </w:pPr>
            <w:r>
              <w:rPr>
                <w:sz w:val="17"/>
              </w:rPr>
              <w:t>1</w:t>
            </w:r>
          </w:p>
        </w:tc>
        <w:tc>
          <w:tcPr>
            <w:tcW w:type="dxa" w:w="2592"/>
            <w:tcBorders>
              <w:bottom w:sz="2" w:val="single" w:color="CCCCCC"/>
            </w:tcBorders>
          </w:tcPr>
          <w:p>
            <w:r>
              <w:rPr>
                <w:sz w:val="17"/>
              </w:rPr>
              <w:t>dia_semana</w:t>
            </w:r>
          </w:p>
        </w:tc>
        <w:tc>
          <w:tcPr>
            <w:tcW w:type="dxa" w:w="1728"/>
            <w:tcBorders>
              <w:bottom w:sz="2" w:val="single" w:color="CCCCCC"/>
            </w:tcBorders>
          </w:tcPr>
          <w:p>
            <w:r>
              <w:rPr>
                <w:sz w:val="17"/>
              </w:rPr>
              <w:t>Estructural</w:t>
            </w:r>
          </w:p>
        </w:tc>
        <w:tc>
          <w:tcPr>
            <w:tcW w:type="dxa" w:w="1440"/>
            <w:tcBorders>
              <w:bottom w:sz="2" w:val="single" w:color="CCCCCC"/>
            </w:tcBorders>
          </w:tcPr>
          <w:p>
            <w:r>
              <w:rPr>
                <w:sz w:val="17"/>
              </w:rPr>
              <w:t>calendario</w:t>
            </w:r>
          </w:p>
        </w:tc>
        <w:tc>
          <w:tcPr>
            <w:tcW w:type="dxa" w:w="864"/>
            <w:tcBorders>
              <w:bottom w:sz="2" w:val="single" w:color="CCCCCC"/>
            </w:tcBorders>
          </w:tcPr>
          <w:p>
            <w:pPr>
              <w:jc w:val="center"/>
            </w:pPr>
            <w:r>
              <w:rPr>
                <w:sz w:val="17"/>
              </w:rPr>
              <w:t>int8</w:t>
            </w:r>
          </w:p>
        </w:tc>
        <w:tc>
          <w:tcPr>
            <w:tcW w:type="dxa" w:w="1584"/>
            <w:tcBorders>
              <w:bottom w:sz="2" w:val="single" w:color="CCCCCC"/>
            </w:tcBorders>
          </w:tcPr>
          <w:p>
            <w:pPr>
              <w:jc w:val="right"/>
            </w:pPr>
            <w:r>
              <w:rPr>
                <w:sz w:val="17"/>
              </w:rPr>
              <w:t>[0, 6]</w:t>
            </w:r>
          </w:p>
        </w:tc>
        <w:tc>
          <w:tcPr>
            <w:tcW w:type="dxa" w:w="1008"/>
            <w:tcBorders>
              <w:bottom w:sz="2" w:val="single" w:color="CCCCCC"/>
            </w:tcBorders>
          </w:tcPr>
          <w:p>
            <w:pPr>
              <w:jc w:val="center"/>
            </w:pPr>
            <w:r>
              <w:rPr>
                <w:sz w:val="17"/>
              </w:rPr>
              <w:t>0.0245</w:t>
            </w:r>
          </w:p>
        </w:tc>
      </w:tr>
      <w:tr>
        <w:tc>
          <w:tcPr>
            <w:tcW w:type="dxa" w:w="576"/>
            <w:tcBorders>
              <w:bottom w:sz="2" w:val="single" w:color="CCCCCC"/>
            </w:tcBorders>
          </w:tcPr>
          <w:p>
            <w:pPr>
              <w:jc w:val="center"/>
            </w:pPr>
            <w:r>
              <w:rPr>
                <w:sz w:val="17"/>
              </w:rPr>
              <w:t>2</w:t>
            </w:r>
          </w:p>
        </w:tc>
        <w:tc>
          <w:tcPr>
            <w:tcW w:type="dxa" w:w="2592"/>
            <w:tcBorders>
              <w:bottom w:sz="2" w:val="single" w:color="CCCCCC"/>
            </w:tcBorders>
          </w:tcPr>
          <w:p>
            <w:r>
              <w:rPr>
                <w:sz w:val="17"/>
              </w:rPr>
              <w:t>mercado_delta_1_pct</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[-2.5, 13.1]</w:t>
            </w:r>
          </w:p>
        </w:tc>
        <w:tc>
          <w:tcPr>
            <w:tcW w:type="dxa" w:w="1008"/>
            <w:tcBorders>
              <w:bottom w:sz="2" w:val="single" w:color="CCCCCC"/>
            </w:tcBorders>
          </w:tcPr>
          <w:p>
            <w:pPr>
              <w:jc w:val="center"/>
            </w:pPr>
            <w:r>
              <w:rPr>
                <w:sz w:val="17"/>
              </w:rPr>
              <w:t>0.0136</w:t>
            </w:r>
          </w:p>
        </w:tc>
      </w:tr>
      <w:tr>
        <w:tc>
          <w:tcPr>
            <w:tcW w:type="dxa" w:w="576"/>
            <w:tcBorders>
              <w:bottom w:sz="2" w:val="single" w:color="CCCCCC"/>
            </w:tcBorders>
          </w:tcPr>
          <w:p>
            <w:pPr>
              <w:jc w:val="center"/>
            </w:pPr>
            <w:r>
              <w:rPr>
                <w:sz w:val="17"/>
              </w:rPr>
              <w:t>3</w:t>
            </w:r>
          </w:p>
        </w:tc>
        <w:tc>
          <w:tcPr>
            <w:tcW w:type="dxa" w:w="2592"/>
            <w:tcBorders>
              <w:bottom w:sz="2" w:val="single" w:color="CCCCCC"/>
            </w:tcBorders>
          </w:tcPr>
          <w:p>
            <w:r>
              <w:rPr>
                <w:sz w:val="17"/>
              </w:rPr>
              <w:t>n_cambios_90</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conteo</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 60]</w:t>
            </w:r>
          </w:p>
        </w:tc>
        <w:tc>
          <w:tcPr>
            <w:tcW w:type="dxa" w:w="1008"/>
            <w:tcBorders>
              <w:bottom w:sz="2" w:val="single" w:color="CCCCCC"/>
            </w:tcBorders>
          </w:tcPr>
          <w:p>
            <w:pPr>
              <w:jc w:val="center"/>
            </w:pPr>
            <w:r>
              <w:rPr>
                <w:sz w:val="17"/>
              </w:rPr>
              <w:t>0.0119</w:t>
            </w:r>
          </w:p>
        </w:tc>
      </w:tr>
      <w:tr>
        <w:tc>
          <w:tcPr>
            <w:tcW w:type="dxa" w:w="576"/>
            <w:tcBorders>
              <w:bottom w:sz="2" w:val="single" w:color="CCCCCC"/>
            </w:tcBorders>
          </w:tcPr>
          <w:p>
            <w:pPr>
              <w:jc w:val="center"/>
            </w:pPr>
            <w:r>
              <w:rPr>
                <w:sz w:val="17"/>
              </w:rPr>
              <w:t>4</w:t>
            </w:r>
          </w:p>
        </w:tc>
        <w:tc>
          <w:tcPr>
            <w:tcW w:type="dxa" w:w="2592"/>
            <w:tcBorders>
              <w:bottom w:sz="2" w:val="single" w:color="CCCCCC"/>
            </w:tcBorders>
          </w:tcPr>
          <w:p>
            <w:r>
              <w:rPr>
                <w:sz w:val="17"/>
              </w:rPr>
              <w:t>precio</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[4.1, 95.0]</w:t>
            </w:r>
          </w:p>
        </w:tc>
        <w:tc>
          <w:tcPr>
            <w:tcW w:type="dxa" w:w="1008"/>
            <w:tcBorders>
              <w:bottom w:sz="2" w:val="single" w:color="CCCCCC"/>
            </w:tcBorders>
          </w:tcPr>
          <w:p>
            <w:pPr>
              <w:jc w:val="center"/>
            </w:pPr>
            <w:r>
              <w:rPr>
                <w:sz w:val="17"/>
              </w:rPr>
              <w:t>0.0086</w:t>
            </w:r>
          </w:p>
        </w:tc>
      </w:tr>
      <w:tr>
        <w:tc>
          <w:tcPr>
            <w:tcW w:type="dxa" w:w="576"/>
            <w:tcBorders>
              <w:bottom w:sz="2" w:val="single" w:color="CCCCCC"/>
            </w:tcBorders>
          </w:tcPr>
          <w:p>
            <w:pPr>
              <w:jc w:val="center"/>
            </w:pPr>
            <w:r>
              <w:rPr>
                <w:sz w:val="17"/>
              </w:rPr>
              <w:t>5</w:t>
            </w:r>
          </w:p>
        </w:tc>
        <w:tc>
          <w:tcPr>
            <w:tcW w:type="dxa" w:w="2592"/>
            <w:tcBorders>
              <w:bottom w:sz="2" w:val="single" w:color="CCCCCC"/>
            </w:tcBorders>
          </w:tcPr>
          <w:p>
            <w:r>
              <w:rPr>
                <w:sz w:val="17"/>
              </w:rPr>
              <w:t>anomalia_espera</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[0.0, 16.2]</w:t>
            </w:r>
          </w:p>
        </w:tc>
        <w:tc>
          <w:tcPr>
            <w:tcW w:type="dxa" w:w="1008"/>
            <w:tcBorders>
              <w:bottom w:sz="2" w:val="single" w:color="CCCCCC"/>
            </w:tcBorders>
          </w:tcPr>
          <w:p>
            <w:pPr>
              <w:jc w:val="center"/>
            </w:pPr>
            <w:r>
              <w:rPr>
                <w:sz w:val="17"/>
              </w:rPr>
              <w:t>0.0048</w:t>
            </w:r>
          </w:p>
        </w:tc>
      </w:tr>
      <w:tr>
        <w:tc>
          <w:tcPr>
            <w:tcW w:type="dxa" w:w="576"/>
            <w:tcBorders>
              <w:bottom w:sz="2" w:val="single" w:color="CCCCCC"/>
            </w:tcBorders>
          </w:tcPr>
          <w:p>
            <w:pPr>
              <w:jc w:val="center"/>
            </w:pPr>
            <w:r>
              <w:rPr>
                <w:sz w:val="17"/>
              </w:rPr>
              <w:t>6</w:t>
            </w:r>
          </w:p>
        </w:tc>
        <w:tc>
          <w:tcPr>
            <w:tcW w:type="dxa" w:w="2592"/>
            <w:tcBorders>
              <w:bottom w:sz="2" w:val="single" w:color="CCCCCC"/>
            </w:tcBorders>
          </w:tcPr>
          <w:p>
            <w:r>
              <w:rPr>
                <w:sz w:val="17"/>
              </w:rPr>
              <w:t>reportes_sin_cambio_28</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conteo</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 169]</w:t>
            </w:r>
          </w:p>
        </w:tc>
        <w:tc>
          <w:tcPr>
            <w:tcW w:type="dxa" w:w="1008"/>
            <w:tcBorders>
              <w:bottom w:sz="2" w:val="single" w:color="CCCCCC"/>
            </w:tcBorders>
          </w:tcPr>
          <w:p>
            <w:pPr>
              <w:jc w:val="center"/>
            </w:pPr>
            <w:r>
              <w:rPr>
                <w:sz w:val="17"/>
              </w:rPr>
              <w:t>0.0044</w:t>
            </w:r>
          </w:p>
        </w:tc>
      </w:tr>
      <w:tr>
        <w:tc>
          <w:tcPr>
            <w:tcW w:type="dxa" w:w="576"/>
            <w:tcBorders>
              <w:bottom w:sz="2" w:val="single" w:color="CCCCCC"/>
            </w:tcBorders>
          </w:tcPr>
          <w:p>
            <w:pPr>
              <w:jc w:val="center"/>
            </w:pPr>
            <w:r>
              <w:rPr>
                <w:sz w:val="17"/>
              </w:rPr>
              <w:t>7</w:t>
            </w:r>
          </w:p>
        </w:tc>
        <w:tc>
          <w:tcPr>
            <w:tcW w:type="dxa" w:w="2592"/>
            <w:tcBorders>
              <w:bottom w:sz="2" w:val="single" w:color="CCCCCC"/>
            </w:tcBorders>
          </w:tcPr>
          <w:p>
            <w:r>
              <w:rPr>
                <w:sz w:val="17"/>
              </w:rPr>
              <w:t>provincia_pct_cambia</w:t>
            </w:r>
          </w:p>
        </w:tc>
        <w:tc>
          <w:tcPr>
            <w:tcW w:type="dxa" w:w="1728"/>
            <w:tcBorders>
              <w:bottom w:sz="2" w:val="single" w:color="CCCCCC"/>
            </w:tcBorders>
          </w:tcPr>
          <w:p>
            <w:r>
              <w:rPr>
                <w:sz w:val="17"/>
              </w:rPr>
              <w:t>Espacial</w:t>
            </w:r>
          </w:p>
        </w:tc>
        <w:tc>
          <w:tcPr>
            <w:tcW w:type="dxa" w:w="1440"/>
            <w:tcBorders>
              <w:bottom w:sz="2" w:val="single" w:color="CCCCCC"/>
            </w:tcBorders>
          </w:tcPr>
          <w:p>
            <w:r>
              <w:rPr>
                <w:sz w:val="17"/>
              </w:rPr>
              <w:t>proporcion</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[0.0, 1.0]</w:t>
            </w:r>
          </w:p>
        </w:tc>
        <w:tc>
          <w:tcPr>
            <w:tcW w:type="dxa" w:w="1008"/>
            <w:tcBorders>
              <w:bottom w:sz="2" w:val="single" w:color="CCCCCC"/>
            </w:tcBorders>
          </w:tcPr>
          <w:p>
            <w:pPr>
              <w:jc w:val="center"/>
            </w:pPr>
            <w:r>
              <w:rPr>
                <w:sz w:val="17"/>
              </w:rPr>
              <w:t>0.0043</w:t>
            </w:r>
          </w:p>
        </w:tc>
      </w:tr>
      <w:tr>
        <w:tc>
          <w:tcPr>
            <w:tcW w:type="dxa" w:w="576"/>
            <w:tcBorders>
              <w:bottom w:sz="2" w:val="single" w:color="CCCCCC"/>
            </w:tcBorders>
          </w:tcPr>
          <w:p>
            <w:pPr>
              <w:jc w:val="center"/>
            </w:pPr>
            <w:r>
              <w:rPr>
                <w:sz w:val="17"/>
              </w:rPr>
              <w:t>8</w:t>
            </w:r>
          </w:p>
        </w:tc>
        <w:tc>
          <w:tcPr>
            <w:tcW w:type="dxa" w:w="2592"/>
            <w:tcBorders>
              <w:bottom w:sz="2" w:val="single" w:color="CCCCCC"/>
            </w:tcBorders>
          </w:tcPr>
          <w:p>
            <w:r>
              <w:rPr>
                <w:sz w:val="17"/>
              </w:rPr>
              <w:t>n_cambios_28</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conteo</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 23]</w:t>
            </w:r>
          </w:p>
        </w:tc>
        <w:tc>
          <w:tcPr>
            <w:tcW w:type="dxa" w:w="1008"/>
            <w:tcBorders>
              <w:bottom w:sz="2" w:val="single" w:color="CCCCCC"/>
            </w:tcBorders>
          </w:tcPr>
          <w:p>
            <w:pPr>
              <w:jc w:val="center"/>
            </w:pPr>
            <w:r>
              <w:rPr>
                <w:sz w:val="17"/>
              </w:rPr>
              <w:t>0.0038</w:t>
            </w:r>
          </w:p>
        </w:tc>
      </w:tr>
      <w:tr>
        <w:tc>
          <w:tcPr>
            <w:tcW w:type="dxa" w:w="576"/>
            <w:tcBorders>
              <w:bottom w:sz="2" w:val="single" w:color="CCCCCC"/>
            </w:tcBorders>
          </w:tcPr>
          <w:p>
            <w:pPr>
              <w:jc w:val="center"/>
            </w:pPr>
            <w:r>
              <w:rPr>
                <w:sz w:val="17"/>
              </w:rPr>
              <w:t>9</w:t>
            </w:r>
          </w:p>
        </w:tc>
        <w:tc>
          <w:tcPr>
            <w:tcW w:type="dxa" w:w="2592"/>
            <w:tcBorders>
              <w:bottom w:sz="2" w:val="single" w:color="CCCCCC"/>
            </w:tcBorders>
          </w:tcPr>
          <w:p>
            <w:r>
              <w:rPr>
                <w:sz w:val="17"/>
              </w:rPr>
              <w:t>mercado_pct_cambia</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proporcion</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[0.0, 0.6]</w:t>
            </w:r>
          </w:p>
        </w:tc>
        <w:tc>
          <w:tcPr>
            <w:tcW w:type="dxa" w:w="1008"/>
            <w:tcBorders>
              <w:bottom w:sz="2" w:val="single" w:color="CCCCCC"/>
            </w:tcBorders>
          </w:tcPr>
          <w:p>
            <w:pPr>
              <w:jc w:val="center"/>
            </w:pPr>
            <w:r>
              <w:rPr>
                <w:sz w:val="17"/>
              </w:rPr>
              <w:t>0.0035</w:t>
            </w:r>
          </w:p>
        </w:tc>
      </w:tr>
      <w:tr>
        <w:tc>
          <w:tcPr>
            <w:tcW w:type="dxa" w:w="576"/>
            <w:tcBorders>
              <w:bottom w:sz="2" w:val="single" w:color="CCCCCC"/>
            </w:tcBorders>
          </w:tcPr>
          <w:p>
            <w:pPr>
              <w:jc w:val="center"/>
            </w:pPr>
            <w:r>
              <w:rPr>
                <w:sz w:val="17"/>
              </w:rPr>
              <w:t>10</w:t>
            </w:r>
          </w:p>
        </w:tc>
        <w:tc>
          <w:tcPr>
            <w:tcW w:type="dxa" w:w="2592"/>
            <w:tcBorders>
              <w:bottom w:sz="2" w:val="single" w:color="CCCCCC"/>
            </w:tcBorders>
          </w:tcPr>
          <w:p>
            <w:r>
              <w:rPr>
                <w:sz w:val="17"/>
              </w:rPr>
              <w:t>combustible_code</w:t>
            </w:r>
          </w:p>
        </w:tc>
        <w:tc>
          <w:tcPr>
            <w:tcW w:type="dxa" w:w="1728"/>
            <w:tcBorders>
              <w:bottom w:sz="2" w:val="single" w:color="CCCCCC"/>
            </w:tcBorders>
          </w:tcPr>
          <w:p>
            <w:r>
              <w:rPr>
                <w:sz w:val="17"/>
              </w:rPr>
              <w:t>Estructural</w:t>
            </w:r>
          </w:p>
        </w:tc>
        <w:tc>
          <w:tcPr>
            <w:tcW w:type="dxa" w:w="1440"/>
            <w:tcBorders>
              <w:bottom w:sz="2" w:val="single" w:color="CCCCCC"/>
            </w:tcBorders>
          </w:tcPr>
          <w:p>
            <w:r>
              <w:rPr>
                <w:sz w:val="17"/>
              </w:rPr>
              <w:t>categorica</w:t>
            </w:r>
          </w:p>
        </w:tc>
        <w:tc>
          <w:tcPr>
            <w:tcW w:type="dxa" w:w="864"/>
            <w:tcBorders>
              <w:bottom w:sz="2" w:val="single" w:color="CCCCCC"/>
            </w:tcBorders>
          </w:tcPr>
          <w:p>
            <w:pPr>
              <w:jc w:val="center"/>
            </w:pPr>
            <w:r>
              <w:rPr>
                <w:sz w:val="17"/>
              </w:rPr>
              <w:t>int8</w:t>
            </w:r>
          </w:p>
        </w:tc>
        <w:tc>
          <w:tcPr>
            <w:tcW w:type="dxa" w:w="1584"/>
            <w:tcBorders>
              <w:bottom w:sz="2" w:val="single" w:color="CCCCCC"/>
            </w:tcBorders>
          </w:tcPr>
          <w:p>
            <w:pPr>
              <w:jc w:val="right"/>
            </w:pPr>
            <w:r>
              <w:rPr>
                <w:sz w:val="17"/>
              </w:rPr>
              <w:t>[0, 4]</w:t>
            </w:r>
          </w:p>
        </w:tc>
        <w:tc>
          <w:tcPr>
            <w:tcW w:type="dxa" w:w="1008"/>
            <w:tcBorders>
              <w:bottom w:sz="2" w:val="single" w:color="CCCCCC"/>
            </w:tcBorders>
          </w:tcPr>
          <w:p>
            <w:pPr>
              <w:jc w:val="center"/>
            </w:pPr>
            <w:r>
              <w:rPr>
                <w:sz w:val="17"/>
              </w:rPr>
              <w:t>0.0033</w:t>
            </w:r>
          </w:p>
        </w:tc>
      </w:tr>
      <w:tr>
        <w:tc>
          <w:tcPr>
            <w:tcW w:type="dxa" w:w="576"/>
            <w:tcBorders>
              <w:bottom w:sz="2" w:val="single" w:color="CCCCCC"/>
            </w:tcBorders>
          </w:tcPr>
          <w:p>
            <w:pPr>
              <w:jc w:val="center"/>
            </w:pPr>
            <w:r>
              <w:rPr>
                <w:sz w:val="17"/>
              </w:rPr>
              <w:t>11</w:t>
            </w:r>
          </w:p>
        </w:tc>
        <w:tc>
          <w:tcPr>
            <w:tcW w:type="dxa" w:w="2592"/>
            <w:tcBorders>
              <w:bottom w:sz="2" w:val="single" w:color="CCCCCC"/>
            </w:tcBorders>
          </w:tcPr>
          <w:p>
            <w:r>
              <w:rPr>
                <w:sz w:val="17"/>
              </w:rPr>
              <w:t>dias_sin_cambio</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conteo</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 1458]</w:t>
            </w:r>
          </w:p>
        </w:tc>
        <w:tc>
          <w:tcPr>
            <w:tcW w:type="dxa" w:w="1008"/>
            <w:tcBorders>
              <w:bottom w:sz="2" w:val="single" w:color="CCCCCC"/>
            </w:tcBorders>
          </w:tcPr>
          <w:p>
            <w:pPr>
              <w:jc w:val="center"/>
            </w:pPr>
            <w:r>
              <w:rPr>
                <w:sz w:val="17"/>
              </w:rPr>
              <w:t>0.0030</w:t>
            </w:r>
          </w:p>
        </w:tc>
      </w:tr>
      <w:tr>
        <w:tc>
          <w:tcPr>
            <w:tcW w:type="dxa" w:w="576"/>
            <w:tcBorders>
              <w:bottom w:sz="2" w:val="single" w:color="CCCCCC"/>
            </w:tcBorders>
          </w:tcPr>
          <w:p>
            <w:pPr>
              <w:jc w:val="center"/>
            </w:pPr>
            <w:r>
              <w:rPr>
                <w:sz w:val="17"/>
              </w:rPr>
              <w:t>12</w:t>
            </w:r>
          </w:p>
        </w:tc>
        <w:tc>
          <w:tcPr>
            <w:tcW w:type="dxa" w:w="2592"/>
            <w:tcBorders>
              <w:bottom w:sz="2" w:val="single" w:color="CCCCCC"/>
            </w:tcBorders>
          </w:tcPr>
          <w:p>
            <w:r>
              <w:rPr>
                <w:sz w:val="17"/>
              </w:rPr>
              <w:t>magnitud_ultimo_cambio_pct</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[-45.6, 127.3]</w:t>
            </w:r>
          </w:p>
        </w:tc>
        <w:tc>
          <w:tcPr>
            <w:tcW w:type="dxa" w:w="1008"/>
            <w:tcBorders>
              <w:bottom w:sz="2" w:val="single" w:color="CCCCCC"/>
            </w:tcBorders>
          </w:tcPr>
          <w:p>
            <w:pPr>
              <w:jc w:val="center"/>
            </w:pPr>
            <w:r>
              <w:rPr>
                <w:sz w:val="17"/>
              </w:rPr>
              <w:t>0.0024</w:t>
            </w:r>
          </w:p>
        </w:tc>
      </w:tr>
      <w:tr>
        <w:tc>
          <w:tcPr>
            <w:tcW w:type="dxa" w:w="576"/>
            <w:tcBorders>
              <w:bottom w:sz="2" w:val="single" w:color="CCCCCC"/>
            </w:tcBorders>
          </w:tcPr>
          <w:p>
            <w:pPr>
              <w:jc w:val="center"/>
            </w:pPr>
            <w:r>
              <w:rPr>
                <w:sz w:val="17"/>
              </w:rPr>
              <w:t>13</w:t>
            </w:r>
          </w:p>
        </w:tc>
        <w:tc>
          <w:tcPr>
            <w:tcW w:type="dxa" w:w="2592"/>
            <w:tcBorders>
              <w:bottom w:sz="2" w:val="single" w:color="CCCCCC"/>
            </w:tcBorders>
          </w:tcPr>
          <w:p>
            <w:r>
              <w:rPr>
                <w:sz w:val="17"/>
              </w:rPr>
              <w:t>desv_depto_pct</w:t>
            </w:r>
          </w:p>
        </w:tc>
        <w:tc>
          <w:tcPr>
            <w:tcW w:type="dxa" w:w="1728"/>
            <w:tcBorders>
              <w:bottom w:sz="2" w:val="single" w:color="CCCCCC"/>
            </w:tcBorders>
          </w:tcPr>
          <w:p>
            <w:r>
              <w:rPr>
                <w:sz w:val="17"/>
              </w:rPr>
              <w:t>Espacial</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[-51.6, 100.3]</w:t>
            </w:r>
          </w:p>
        </w:tc>
        <w:tc>
          <w:tcPr>
            <w:tcW w:type="dxa" w:w="1008"/>
            <w:tcBorders>
              <w:bottom w:sz="2" w:val="single" w:color="CCCCCC"/>
            </w:tcBorders>
          </w:tcPr>
          <w:p>
            <w:pPr>
              <w:jc w:val="center"/>
            </w:pPr>
            <w:r>
              <w:rPr>
                <w:sz w:val="17"/>
              </w:rPr>
              <w:t>0.0022</w:t>
            </w:r>
          </w:p>
        </w:tc>
      </w:tr>
      <w:tr>
        <w:tc>
          <w:tcPr>
            <w:tcW w:type="dxa" w:w="576"/>
            <w:tcBorders>
              <w:bottom w:sz="2" w:val="single" w:color="CCCCCC"/>
            </w:tcBorders>
          </w:tcPr>
          <w:p>
            <w:pPr>
              <w:jc w:val="center"/>
            </w:pPr>
            <w:r>
              <w:rPr>
                <w:sz w:val="17"/>
              </w:rPr>
              <w:t>14</w:t>
            </w:r>
          </w:p>
        </w:tc>
        <w:tc>
          <w:tcPr>
            <w:tcW w:type="dxa" w:w="2592"/>
            <w:tcBorders>
              <w:bottom w:sz="2" w:val="single" w:color="CCCCCC"/>
            </w:tcBorders>
          </w:tcPr>
          <w:p>
            <w:r>
              <w:rPr>
                <w:sz w:val="17"/>
              </w:rPr>
              <w:t>depto_pct_cambia</w:t>
            </w:r>
          </w:p>
        </w:tc>
        <w:tc>
          <w:tcPr>
            <w:tcW w:type="dxa" w:w="1728"/>
            <w:tcBorders>
              <w:bottom w:sz="2" w:val="single" w:color="CCCCCC"/>
            </w:tcBorders>
          </w:tcPr>
          <w:p>
            <w:r>
              <w:rPr>
                <w:sz w:val="17"/>
              </w:rPr>
              <w:t>Espacial</w:t>
            </w:r>
          </w:p>
        </w:tc>
        <w:tc>
          <w:tcPr>
            <w:tcW w:type="dxa" w:w="1440"/>
            <w:tcBorders>
              <w:bottom w:sz="2" w:val="single" w:color="CCCCCC"/>
            </w:tcBorders>
          </w:tcPr>
          <w:p>
            <w:r>
              <w:rPr>
                <w:sz w:val="17"/>
              </w:rPr>
              <w:t>proporcion</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[0.0, 1.0]</w:t>
            </w:r>
          </w:p>
        </w:tc>
        <w:tc>
          <w:tcPr>
            <w:tcW w:type="dxa" w:w="1008"/>
            <w:tcBorders>
              <w:bottom w:sz="2" w:val="single" w:color="CCCCCC"/>
            </w:tcBorders>
          </w:tcPr>
          <w:p>
            <w:pPr>
              <w:jc w:val="center"/>
            </w:pPr>
            <w:r>
              <w:rPr>
                <w:sz w:val="17"/>
              </w:rPr>
              <w:t>0.0016</w:t>
            </w:r>
          </w:p>
        </w:tc>
      </w:tr>
      <w:tr>
        <w:tc>
          <w:tcPr>
            <w:tcW w:type="dxa" w:w="576"/>
            <w:tcBorders>
              <w:bottom w:sz="2" w:val="single" w:color="CCCCCC"/>
            </w:tcBorders>
          </w:tcPr>
          <w:p>
            <w:pPr>
              <w:jc w:val="center"/>
            </w:pPr>
            <w:r>
              <w:rPr>
                <w:sz w:val="17"/>
              </w:rPr>
              <w:t>15</w:t>
            </w:r>
          </w:p>
        </w:tc>
        <w:tc>
          <w:tcPr>
            <w:tcW w:type="dxa" w:w="2592"/>
            <w:tcBorders>
              <w:bottom w:sz="2" w:val="single" w:color="CCCCCC"/>
            </w:tcBorders>
          </w:tcPr>
          <w:p>
            <w:r>
              <w:rPr>
                <w:sz w:val="17"/>
              </w:rPr>
              <w:t>desv_provincia_pct</w:t>
            </w:r>
          </w:p>
        </w:tc>
        <w:tc>
          <w:tcPr>
            <w:tcW w:type="dxa" w:w="1728"/>
            <w:tcBorders>
              <w:bottom w:sz="2" w:val="single" w:color="CCCCCC"/>
            </w:tcBorders>
          </w:tcPr>
          <w:p>
            <w:r>
              <w:rPr>
                <w:sz w:val="17"/>
              </w:rPr>
              <w:t>Espacial</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[-50.5, 86.9]</w:t>
            </w:r>
          </w:p>
        </w:tc>
        <w:tc>
          <w:tcPr>
            <w:tcW w:type="dxa" w:w="1008"/>
            <w:tcBorders>
              <w:bottom w:sz="2" w:val="single" w:color="CCCCCC"/>
            </w:tcBorders>
          </w:tcPr>
          <w:p>
            <w:pPr>
              <w:jc w:val="center"/>
            </w:pPr>
            <w:r>
              <w:rPr>
                <w:sz w:val="17"/>
              </w:rPr>
              <w:t>0.0012</w:t>
            </w:r>
          </w:p>
        </w:tc>
      </w:tr>
      <w:tr>
        <w:tc>
          <w:tcPr>
            <w:tcW w:type="dxa" w:w="576"/>
            <w:tcBorders>
              <w:bottom w:sz="2" w:val="single" w:color="CCCCCC"/>
            </w:tcBorders>
          </w:tcPr>
          <w:p>
            <w:pPr>
              <w:jc w:val="center"/>
            </w:pPr>
            <w:r>
              <w:rPr>
                <w:sz w:val="17"/>
              </w:rPr>
              <w:t>16</w:t>
            </w:r>
          </w:p>
        </w:tc>
        <w:tc>
          <w:tcPr>
            <w:tcW w:type="dxa" w:w="2592"/>
            <w:tcBorders>
              <w:bottom w:sz="2" w:val="single" w:color="CCCCCC"/>
            </w:tcBorders>
          </w:tcPr>
          <w:p>
            <w:r>
              <w:rPr>
                <w:sz w:val="17"/>
              </w:rPr>
              <w:t>delta_3_pct</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[-38.0, 134.0]</w:t>
            </w:r>
          </w:p>
        </w:tc>
        <w:tc>
          <w:tcPr>
            <w:tcW w:type="dxa" w:w="1008"/>
            <w:tcBorders>
              <w:bottom w:sz="2" w:val="single" w:color="CCCCCC"/>
            </w:tcBorders>
          </w:tcPr>
          <w:p>
            <w:pPr>
              <w:jc w:val="center"/>
            </w:pPr>
            <w:r>
              <w:rPr>
                <w:sz w:val="17"/>
              </w:rPr>
              <w:t>0.0011</w:t>
            </w:r>
          </w:p>
        </w:tc>
      </w:tr>
      <w:tr>
        <w:tc>
          <w:tcPr>
            <w:tcW w:type="dxa" w:w="576"/>
            <w:tcBorders>
              <w:bottom w:sz="2" w:val="single" w:color="CCCCCC"/>
            </w:tcBorders>
          </w:tcPr>
          <w:p>
            <w:pPr>
              <w:jc w:val="center"/>
            </w:pPr>
            <w:r>
              <w:rPr>
                <w:sz w:val="17"/>
              </w:rPr>
              <w:t>17</w:t>
            </w:r>
          </w:p>
        </w:tc>
        <w:tc>
          <w:tcPr>
            <w:tcW w:type="dxa" w:w="2592"/>
            <w:tcBorders>
              <w:bottom w:sz="2" w:val="single" w:color="CCCCCC"/>
            </w:tcBorders>
          </w:tcPr>
          <w:p>
            <w:r>
              <w:rPr>
                <w:sz w:val="17"/>
              </w:rPr>
              <w:t>volatilidad_7</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[0.0, 39.7]</w:t>
            </w:r>
          </w:p>
        </w:tc>
        <w:tc>
          <w:tcPr>
            <w:tcW w:type="dxa" w:w="1008"/>
            <w:tcBorders>
              <w:bottom w:sz="2" w:val="single" w:color="CCCCCC"/>
            </w:tcBorders>
          </w:tcPr>
          <w:p>
            <w:pPr>
              <w:jc w:val="center"/>
            </w:pPr>
            <w:r>
              <w:rPr>
                <w:sz w:val="17"/>
              </w:rPr>
              <w:t>0.0009</w:t>
            </w:r>
          </w:p>
        </w:tc>
      </w:tr>
      <w:tr>
        <w:tc>
          <w:tcPr>
            <w:tcW w:type="dxa" w:w="576"/>
            <w:tcBorders>
              <w:bottom w:sz="2" w:val="single" w:color="CCCCCC"/>
            </w:tcBorders>
          </w:tcPr>
          <w:p>
            <w:pPr>
              <w:jc w:val="center"/>
            </w:pPr>
            <w:r>
              <w:rPr>
                <w:sz w:val="17"/>
              </w:rPr>
              <w:t>18</w:t>
            </w:r>
          </w:p>
        </w:tc>
        <w:tc>
          <w:tcPr>
            <w:tcW w:type="dxa" w:w="2592"/>
            <w:tcBorders>
              <w:bottom w:sz="2" w:val="single" w:color="CCCCCC"/>
            </w:tcBorders>
          </w:tcPr>
          <w:p>
            <w:r>
              <w:rPr>
                <w:sz w:val="17"/>
              </w:rPr>
              <w:t>percentil_mercado</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proporcion</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[0.0, 1.0]</w:t>
            </w:r>
          </w:p>
        </w:tc>
        <w:tc>
          <w:tcPr>
            <w:tcW w:type="dxa" w:w="1008"/>
            <w:tcBorders>
              <w:bottom w:sz="2" w:val="single" w:color="CCCCCC"/>
            </w:tcBorders>
          </w:tcPr>
          <w:p>
            <w:pPr>
              <w:jc w:val="center"/>
            </w:pPr>
            <w:r>
              <w:rPr>
                <w:sz w:val="17"/>
              </w:rPr>
              <w:t>0.0007</w:t>
            </w:r>
          </w:p>
        </w:tc>
      </w:tr>
      <w:tr>
        <w:tc>
          <w:tcPr>
            <w:tcW w:type="dxa" w:w="576"/>
            <w:tcBorders>
              <w:bottom w:sz="2" w:val="single" w:color="CCCCCC"/>
            </w:tcBorders>
          </w:tcPr>
          <w:p>
            <w:pPr>
              <w:jc w:val="center"/>
            </w:pPr>
            <w:r>
              <w:rPr>
                <w:sz w:val="17"/>
              </w:rPr>
              <w:t>19</w:t>
            </w:r>
          </w:p>
        </w:tc>
        <w:tc>
          <w:tcPr>
            <w:tcW w:type="dxa" w:w="2592"/>
            <w:tcBorders>
              <w:bottom w:sz="2" w:val="single" w:color="CCCCCC"/>
            </w:tcBorders>
          </w:tcPr>
          <w:p>
            <w:r>
              <w:rPr>
                <w:sz w:val="17"/>
              </w:rPr>
              <w:t>desv_media_movil_pct</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[-31.4, 117.3]</w:t>
            </w:r>
          </w:p>
        </w:tc>
        <w:tc>
          <w:tcPr>
            <w:tcW w:type="dxa" w:w="1008"/>
            <w:tcBorders>
              <w:bottom w:sz="2" w:val="single" w:color="CCCCCC"/>
            </w:tcBorders>
          </w:tcPr>
          <w:p>
            <w:pPr>
              <w:jc w:val="center"/>
            </w:pPr>
            <w:r>
              <w:rPr>
                <w:sz w:val="17"/>
              </w:rPr>
              <w:t>0.0006</w:t>
            </w:r>
          </w:p>
        </w:tc>
      </w:tr>
      <w:tr>
        <w:tc>
          <w:tcPr>
            <w:tcW w:type="dxa" w:w="576"/>
            <w:tcBorders>
              <w:bottom w:sz="2" w:val="single" w:color="CCCCCC"/>
            </w:tcBorders>
          </w:tcPr>
          <w:p>
            <w:pPr>
              <w:jc w:val="center"/>
            </w:pPr>
            <w:r>
              <w:rPr>
                <w:sz w:val="17"/>
              </w:rPr>
              <w:t>20</w:t>
            </w:r>
          </w:p>
        </w:tc>
        <w:tc>
          <w:tcPr>
            <w:tcW w:type="dxa" w:w="2592"/>
            <w:tcBorders>
              <w:bottom w:sz="2" w:val="single" w:color="CCCCCC"/>
            </w:tcBorders>
          </w:tcPr>
          <w:p>
            <w:r>
              <w:rPr>
                <w:sz w:val="17"/>
              </w:rPr>
              <w:t>desv_mercado_pct</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[-49.6, 124.5]</w:t>
            </w:r>
          </w:p>
        </w:tc>
        <w:tc>
          <w:tcPr>
            <w:tcW w:type="dxa" w:w="1008"/>
            <w:tcBorders>
              <w:bottom w:sz="2" w:val="single" w:color="CCCCCC"/>
            </w:tcBorders>
          </w:tcPr>
          <w:p>
            <w:pPr>
              <w:jc w:val="center"/>
            </w:pPr>
            <w:r>
              <w:rPr>
                <w:sz w:val="17"/>
              </w:rPr>
              <w:t>0.0005</w:t>
            </w:r>
          </w:p>
        </w:tc>
      </w:tr>
      <w:tr>
        <w:tc>
          <w:tcPr>
            <w:tcW w:type="dxa" w:w="576"/>
            <w:tcBorders>
              <w:bottom w:sz="2" w:val="single" w:color="CCCCCC"/>
            </w:tcBorders>
          </w:tcPr>
          <w:p>
            <w:pPr>
              <w:jc w:val="center"/>
            </w:pPr>
            <w:r>
              <w:rPr>
                <w:sz w:val="17"/>
              </w:rPr>
              <w:t>21</w:t>
            </w:r>
          </w:p>
        </w:tc>
        <w:tc>
          <w:tcPr>
            <w:tcW w:type="dxa" w:w="2592"/>
            <w:tcBorders>
              <w:bottom w:sz="2" w:val="single" w:color="CCCCCC"/>
            </w:tcBorders>
          </w:tcPr>
          <w:p>
            <w:r>
              <w:rPr>
                <w:sz w:val="17"/>
              </w:rPr>
              <w:t>depto_code</w:t>
            </w:r>
          </w:p>
        </w:tc>
        <w:tc>
          <w:tcPr>
            <w:tcW w:type="dxa" w:w="1728"/>
            <w:tcBorders>
              <w:bottom w:sz="2" w:val="single" w:color="CCCCCC"/>
            </w:tcBorders>
          </w:tcPr>
          <w:p>
            <w:r>
              <w:rPr>
                <w:sz w:val="17"/>
              </w:rPr>
              <w:t>Espacial</w:t>
            </w:r>
          </w:p>
        </w:tc>
        <w:tc>
          <w:tcPr>
            <w:tcW w:type="dxa" w:w="1440"/>
            <w:tcBorders>
              <w:bottom w:sz="2" w:val="single" w:color="CCCCCC"/>
            </w:tcBorders>
          </w:tcPr>
          <w:p>
            <w:r>
              <w:rPr>
                <w:sz w:val="17"/>
              </w:rPr>
              <w:t>categorica</w:t>
            </w:r>
          </w:p>
        </w:tc>
        <w:tc>
          <w:tcPr>
            <w:tcW w:type="dxa" w:w="864"/>
            <w:tcBorders>
              <w:bottom w:sz="2" w:val="single" w:color="CCCCCC"/>
            </w:tcBorders>
          </w:tcPr>
          <w:p>
            <w:pPr>
              <w:jc w:val="center"/>
            </w:pPr>
            <w:r>
              <w:rPr>
                <w:sz w:val="17"/>
              </w:rPr>
              <w:t>int16</w:t>
            </w:r>
          </w:p>
        </w:tc>
        <w:tc>
          <w:tcPr>
            <w:tcW w:type="dxa" w:w="1584"/>
            <w:tcBorders>
              <w:bottom w:sz="2" w:val="single" w:color="CCCCCC"/>
            </w:tcBorders>
          </w:tcPr>
          <w:p>
            <w:pPr>
              <w:jc w:val="right"/>
            </w:pPr>
            <w:r>
              <w:rPr>
                <w:sz w:val="17"/>
              </w:rPr>
              <w:t>[0, 24]</w:t>
            </w:r>
          </w:p>
        </w:tc>
        <w:tc>
          <w:tcPr>
            <w:tcW w:type="dxa" w:w="1008"/>
            <w:tcBorders>
              <w:bottom w:sz="2" w:val="single" w:color="CCCCCC"/>
            </w:tcBorders>
          </w:tcPr>
          <w:p>
            <w:pPr>
              <w:jc w:val="center"/>
            </w:pPr>
            <w:r>
              <w:rPr>
                <w:sz w:val="17"/>
              </w:rPr>
              <w:t>0.0005</w:t>
            </w:r>
          </w:p>
        </w:tc>
      </w:tr>
      <w:tr>
        <w:tc>
          <w:tcPr>
            <w:tcW w:type="dxa" w:w="576"/>
            <w:tcBorders>
              <w:bottom w:sz="2" w:val="single" w:color="CCCCCC"/>
            </w:tcBorders>
          </w:tcPr>
          <w:p>
            <w:pPr>
              <w:jc w:val="center"/>
            </w:pPr>
            <w:r>
              <w:rPr>
                <w:sz w:val="17"/>
              </w:rPr>
              <w:t>22</w:t>
            </w:r>
          </w:p>
        </w:tc>
        <w:tc>
          <w:tcPr>
            <w:tcW w:type="dxa" w:w="2592"/>
            <w:tcBorders>
              <w:bottom w:sz="2" w:val="single" w:color="CCCCCC"/>
            </w:tcBorders>
          </w:tcPr>
          <w:p>
            <w:r>
              <w:rPr>
                <w:sz w:val="17"/>
              </w:rPr>
              <w:t>frac_subidas_28</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proporcion</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[0.0, 1.0]</w:t>
            </w:r>
          </w:p>
        </w:tc>
        <w:tc>
          <w:tcPr>
            <w:tcW w:type="dxa" w:w="1008"/>
            <w:tcBorders>
              <w:bottom w:sz="2" w:val="single" w:color="CCCCCC"/>
            </w:tcBorders>
          </w:tcPr>
          <w:p>
            <w:pPr>
              <w:jc w:val="center"/>
            </w:pPr>
            <w:r>
              <w:rPr>
                <w:sz w:val="17"/>
              </w:rPr>
              <w:t>0.0004</w:t>
            </w:r>
          </w:p>
        </w:tc>
      </w:tr>
      <w:tr>
        <w:tc>
          <w:tcPr>
            <w:tcW w:type="dxa" w:w="576"/>
            <w:tcBorders>
              <w:bottom w:sz="2" w:val="single" w:color="CCCCCC"/>
            </w:tcBorders>
          </w:tcPr>
          <w:p>
            <w:pPr>
              <w:jc w:val="center"/>
            </w:pPr>
            <w:r>
              <w:rPr>
                <w:sz w:val="17"/>
              </w:rPr>
              <w:t>23</w:t>
            </w:r>
          </w:p>
        </w:tc>
        <w:tc>
          <w:tcPr>
            <w:tcW w:type="dxa" w:w="2592"/>
            <w:tcBorders>
              <w:bottom w:sz="2" w:val="single" w:color="CCCCCC"/>
            </w:tcBorders>
          </w:tcPr>
          <w:p>
            <w:r>
              <w:rPr>
                <w:sz w:val="17"/>
              </w:rPr>
              <w:t>delta_7_pct</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[-40.0, 185.0]</w:t>
            </w:r>
          </w:p>
        </w:tc>
        <w:tc>
          <w:tcPr>
            <w:tcW w:type="dxa" w:w="1008"/>
            <w:tcBorders>
              <w:bottom w:sz="2" w:val="single" w:color="CCCCCC"/>
            </w:tcBorders>
          </w:tcPr>
          <w:p>
            <w:pPr>
              <w:jc w:val="center"/>
            </w:pPr>
            <w:r>
              <w:rPr>
                <w:sz w:val="17"/>
              </w:rPr>
              <w:t>0.0003</w:t>
            </w:r>
          </w:p>
        </w:tc>
      </w:tr>
      <w:tr>
        <w:tc>
          <w:tcPr>
            <w:tcW w:type="dxa" w:w="576"/>
            <w:tcBorders>
              <w:bottom w:sz="2" w:val="single" w:color="CCCCCC"/>
            </w:tcBorders>
          </w:tcPr>
          <w:p>
            <w:pPr>
              <w:jc w:val="center"/>
            </w:pPr>
            <w:r>
              <w:rPr>
                <w:sz w:val="17"/>
              </w:rPr>
              <w:t>24</w:t>
            </w:r>
          </w:p>
        </w:tc>
        <w:tc>
          <w:tcPr>
            <w:tcW w:type="dxa" w:w="2592"/>
            <w:tcBorders>
              <w:bottom w:sz="2" w:val="single" w:color="CCCCCC"/>
            </w:tcBorders>
          </w:tcPr>
          <w:p>
            <w:r>
              <w:rPr>
                <w:sz w:val="17"/>
              </w:rPr>
              <w:t>actividad_code</w:t>
            </w:r>
          </w:p>
        </w:tc>
        <w:tc>
          <w:tcPr>
            <w:tcW w:type="dxa" w:w="1728"/>
            <w:tcBorders>
              <w:bottom w:sz="2" w:val="single" w:color="CCCCCC"/>
            </w:tcBorders>
          </w:tcPr>
          <w:p>
            <w:r>
              <w:rPr>
                <w:sz w:val="17"/>
              </w:rPr>
              <w:t>Estructural</w:t>
            </w:r>
          </w:p>
        </w:tc>
        <w:tc>
          <w:tcPr>
            <w:tcW w:type="dxa" w:w="1440"/>
            <w:tcBorders>
              <w:bottom w:sz="2" w:val="single" w:color="CCCCCC"/>
            </w:tcBorders>
          </w:tcPr>
          <w:p>
            <w:r>
              <w:rPr>
                <w:sz w:val="17"/>
              </w:rPr>
              <w:t>categorica</w:t>
            </w:r>
          </w:p>
        </w:tc>
        <w:tc>
          <w:tcPr>
            <w:tcW w:type="dxa" w:w="864"/>
            <w:tcBorders>
              <w:bottom w:sz="2" w:val="single" w:color="CCCCCC"/>
            </w:tcBorders>
          </w:tcPr>
          <w:p>
            <w:pPr>
              <w:jc w:val="center"/>
            </w:pPr>
            <w:r>
              <w:rPr>
                <w:sz w:val="17"/>
              </w:rPr>
              <w:t>int16</w:t>
            </w:r>
          </w:p>
        </w:tc>
        <w:tc>
          <w:tcPr>
            <w:tcW w:type="dxa" w:w="1584"/>
            <w:tcBorders>
              <w:bottom w:sz="2" w:val="single" w:color="CCCCCC"/>
            </w:tcBorders>
          </w:tcPr>
          <w:p>
            <w:pPr>
              <w:jc w:val="right"/>
            </w:pPr>
            <w:r>
              <w:rPr>
                <w:sz w:val="17"/>
              </w:rPr>
              <w:t>[0, 10]</w:t>
            </w:r>
          </w:p>
        </w:tc>
        <w:tc>
          <w:tcPr>
            <w:tcW w:type="dxa" w:w="1008"/>
            <w:tcBorders>
              <w:bottom w:sz="2" w:val="single" w:color="CCCCCC"/>
            </w:tcBorders>
          </w:tcPr>
          <w:p>
            <w:pPr>
              <w:jc w:val="center"/>
            </w:pPr>
            <w:r>
              <w:rPr>
                <w:sz w:val="17"/>
              </w:rPr>
              <w:t>0.0002</w:t>
            </w:r>
          </w:p>
        </w:tc>
      </w:tr>
      <w:tr>
        <w:tc>
          <w:tcPr>
            <w:tcW w:type="dxa" w:w="576"/>
            <w:tcBorders>
              <w:bottom w:sz="2" w:val="single" w:color="CCCCCC"/>
            </w:tcBorders>
          </w:tcPr>
          <w:p>
            <w:pPr>
              <w:jc w:val="center"/>
            </w:pPr>
            <w:r>
              <w:rPr>
                <w:sz w:val="17"/>
              </w:rPr>
              <w:t>25</w:t>
            </w:r>
          </w:p>
        </w:tc>
        <w:tc>
          <w:tcPr>
            <w:tcW w:type="dxa" w:w="2592"/>
            <w:tcBorders>
              <w:bottom w:sz="2" w:val="single" w:color="CCCCCC"/>
            </w:tcBorders>
          </w:tcPr>
          <w:p>
            <w:r>
              <w:rPr>
                <w:sz w:val="17"/>
              </w:rPr>
              <w:t>n_productos</w:t>
            </w:r>
          </w:p>
        </w:tc>
        <w:tc>
          <w:tcPr>
            <w:tcW w:type="dxa" w:w="1728"/>
            <w:tcBorders>
              <w:bottom w:sz="2" w:val="single" w:color="CCCCCC"/>
            </w:tcBorders>
          </w:tcPr>
          <w:p>
            <w:r>
              <w:rPr>
                <w:sz w:val="17"/>
              </w:rPr>
              <w:t>Estructural</w:t>
            </w:r>
          </w:p>
        </w:tc>
        <w:tc>
          <w:tcPr>
            <w:tcW w:type="dxa" w:w="1440"/>
            <w:tcBorders>
              <w:bottom w:sz="2" w:val="single" w:color="CCCCCC"/>
            </w:tcBorders>
          </w:tcPr>
          <w:p>
            <w:r>
              <w:rPr>
                <w:sz w:val="17"/>
              </w:rPr>
              <w:t>conteo</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[1, 5]</w:t>
            </w:r>
          </w:p>
        </w:tc>
        <w:tc>
          <w:tcPr>
            <w:tcW w:type="dxa" w:w="1008"/>
            <w:tcBorders>
              <w:bottom w:sz="2" w:val="single" w:color="CCCCCC"/>
            </w:tcBorders>
          </w:tcPr>
          <w:p>
            <w:pPr>
              <w:jc w:val="center"/>
            </w:pPr>
            <w:r>
              <w:rPr>
                <w:sz w:val="17"/>
              </w:rPr>
              <w:t>0.0001</w:t>
            </w:r>
          </w:p>
        </w:tc>
      </w:tr>
      <w:tr>
        <w:tc>
          <w:tcPr>
            <w:tcW w:type="dxa" w:w="576"/>
            <w:tcBorders>
              <w:bottom w:sz="2" w:val="single" w:color="CCCCCC"/>
            </w:tcBorders>
          </w:tcPr>
          <w:p>
            <w:pPr>
              <w:jc w:val="center"/>
            </w:pPr>
            <w:r>
              <w:rPr>
                <w:sz w:val="17"/>
              </w:rPr>
              <w:t>26</w:t>
            </w:r>
          </w:p>
        </w:tc>
        <w:tc>
          <w:tcPr>
            <w:tcW w:type="dxa" w:w="2592"/>
            <w:tcBorders>
              <w:bottom w:sz="2" w:val="single" w:color="CCCCCC"/>
            </w:tcBorders>
          </w:tcPr>
          <w:p>
            <w:r>
              <w:rPr>
                <w:sz w:val="17"/>
              </w:rPr>
              <w:t>delta_1_pct</w:t>
            </w:r>
          </w:p>
        </w:tc>
        <w:tc>
          <w:tcPr>
            <w:tcW w:type="dxa" w:w="1728"/>
            <w:tcBorders>
              <w:bottom w:sz="2" w:val="single" w:color="CCCCCC"/>
            </w:tcBorders>
          </w:tcPr>
          <w:p>
            <w:r>
              <w:rPr>
                <w:sz w:val="17"/>
              </w:rPr>
              <w:t>Mercado</w:t>
            </w:r>
          </w:p>
        </w:tc>
        <w:tc>
          <w:tcPr>
            <w:tcW w:type="dxa" w:w="1440"/>
            <w:tcBorders>
              <w:bottom w:sz="2" w:val="single" w:color="CCCCCC"/>
            </w:tcBorders>
          </w:tcPr>
          <w:p>
            <w:r>
              <w:rPr>
                <w:sz w:val="17"/>
              </w:rPr>
              <w:t>continua</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[-45.6, 71.1]</w:t>
            </w:r>
          </w:p>
        </w:tc>
        <w:tc>
          <w:tcPr>
            <w:tcW w:type="dxa" w:w="1008"/>
            <w:tcBorders>
              <w:bottom w:sz="2" w:val="single" w:color="CCCCCC"/>
            </w:tcBorders>
          </w:tcPr>
          <w:p>
            <w:pPr>
              <w:jc w:val="center"/>
            </w:pPr>
            <w:r>
              <w:rPr>
                <w:sz w:val="17"/>
              </w:rPr>
              <w:t>0.0001</w:t>
            </w:r>
          </w:p>
        </w:tc>
      </w:tr>
      <w:tr>
        <w:tc>
          <w:tcPr>
            <w:tcW w:type="dxa" w:w="576"/>
            <w:tcBorders>
              <w:bottom w:sz="2" w:val="single" w:color="CCCCCC"/>
            </w:tcBorders>
          </w:tcPr>
          <w:p>
            <w:pPr>
              <w:jc w:val="center"/>
            </w:pPr>
            <w:r>
              <w:rPr>
                <w:sz w:val="17"/>
              </w:rPr>
              <w:t>27</w:t>
            </w:r>
          </w:p>
        </w:tc>
        <w:tc>
          <w:tcPr>
            <w:tcW w:type="dxa" w:w="2592"/>
            <w:tcBorders>
              <w:bottom w:sz="2" w:val="single" w:color="CCCCCC"/>
            </w:tcBorders>
          </w:tcPr>
          <w:p>
            <w:r>
              <w:rPr>
                <w:sz w:val="17"/>
              </w:rPr>
              <w:t>mes</w:t>
            </w:r>
          </w:p>
        </w:tc>
        <w:tc>
          <w:tcPr>
            <w:tcW w:type="dxa" w:w="1728"/>
            <w:tcBorders>
              <w:bottom w:sz="2" w:val="single" w:color="CCCCCC"/>
            </w:tcBorders>
          </w:tcPr>
          <w:p>
            <w:r>
              <w:rPr>
                <w:sz w:val="17"/>
              </w:rPr>
              <w:t>Estructural</w:t>
            </w:r>
          </w:p>
        </w:tc>
        <w:tc>
          <w:tcPr>
            <w:tcW w:type="dxa" w:w="1440"/>
            <w:tcBorders>
              <w:bottom w:sz="2" w:val="single" w:color="CCCCCC"/>
            </w:tcBorders>
          </w:tcPr>
          <w:p>
            <w:r>
              <w:rPr>
                <w:sz w:val="17"/>
              </w:rPr>
              <w:t>calendario</w:t>
            </w:r>
          </w:p>
        </w:tc>
        <w:tc>
          <w:tcPr>
            <w:tcW w:type="dxa" w:w="864"/>
            <w:tcBorders>
              <w:bottom w:sz="2" w:val="single" w:color="CCCCCC"/>
            </w:tcBorders>
          </w:tcPr>
          <w:p>
            <w:pPr>
              <w:jc w:val="center"/>
            </w:pPr>
            <w:r>
              <w:rPr>
                <w:sz w:val="17"/>
              </w:rPr>
              <w:t>int8</w:t>
            </w:r>
          </w:p>
        </w:tc>
        <w:tc>
          <w:tcPr>
            <w:tcW w:type="dxa" w:w="1584"/>
            <w:tcBorders>
              <w:bottom w:sz="2" w:val="single" w:color="CCCCCC"/>
            </w:tcBorders>
          </w:tcPr>
          <w:p>
            <w:pPr>
              <w:jc w:val="right"/>
            </w:pPr>
            <w:r>
              <w:rPr>
                <w:sz w:val="17"/>
              </w:rPr>
              <w:t>[1, 12]</w:t>
            </w:r>
          </w:p>
        </w:tc>
        <w:tc>
          <w:tcPr>
            <w:tcW w:type="dxa" w:w="1008"/>
            <w:tcBorders>
              <w:bottom w:sz="2" w:val="single" w:color="CCCCCC"/>
            </w:tcBorders>
          </w:tcPr>
          <w:p>
            <w:pPr>
              <w:jc w:val="center"/>
            </w:pPr>
            <w:r>
              <w:rPr>
                <w:sz w:val="17"/>
              </w:rPr>
              <w:t>0.0000</w:t>
            </w:r>
          </w:p>
        </w:tc>
      </w:tr>
      <w:tr>
        <w:tc>
          <w:tcPr>
            <w:tcW w:type="dxa" w:w="576"/>
            <w:tcBorders>
              <w:bottom w:sz="2" w:val="single" w:color="CCCCCC"/>
            </w:tcBorders>
          </w:tcPr>
          <w:p>
            <w:pPr>
              <w:jc w:val="center"/>
            </w:pPr>
            <w:r>
              <w:rPr>
                <w:sz w:val="17"/>
              </w:rPr>
              <w:t>28</w:t>
            </w:r>
          </w:p>
        </w:tc>
        <w:tc>
          <w:tcPr>
            <w:tcW w:type="dxa" w:w="2592"/>
            <w:tcBorders>
              <w:bottom w:sz="2" w:val="single" w:color="CCCCCC"/>
            </w:tcBorders>
          </w:tcPr>
          <w:p>
            <w:r>
              <w:rPr>
                <w:sz w:val="17"/>
              </w:rPr>
              <w:t>n_cambios_7</w:t>
            </w:r>
          </w:p>
        </w:tc>
        <w:tc>
          <w:tcPr>
            <w:tcW w:type="dxa" w:w="1728"/>
            <w:tcBorders>
              <w:bottom w:sz="2" w:val="single" w:color="CCCCCC"/>
            </w:tcBorders>
          </w:tcPr>
          <w:p>
            <w:r>
              <w:rPr>
                <w:sz w:val="17"/>
              </w:rPr>
              <w:t>Inercia</w:t>
            </w:r>
          </w:p>
        </w:tc>
        <w:tc>
          <w:tcPr>
            <w:tcW w:type="dxa" w:w="1440"/>
            <w:tcBorders>
              <w:bottom w:sz="2" w:val="single" w:color="CCCCCC"/>
            </w:tcBorders>
          </w:tcPr>
          <w:p>
            <w:r>
              <w:rPr>
                <w:sz w:val="17"/>
              </w:rPr>
              <w:t>conteo</w:t>
            </w:r>
          </w:p>
        </w:tc>
        <w:tc>
          <w:tcPr>
            <w:tcW w:type="dxa" w:w="864"/>
            <w:tcBorders>
              <w:bottom w:sz="2" w:val="single" w:color="CCCCCC"/>
            </w:tcBorders>
          </w:tcPr>
          <w:p>
            <w:pPr>
              <w:jc w:val="center"/>
            </w:pPr>
            <w:r>
              <w:rPr>
                <w:sz w:val="17"/>
              </w:rPr>
              <w:t>float32</w:t>
            </w:r>
          </w:p>
        </w:tc>
        <w:tc>
          <w:tcPr>
            <w:tcW w:type="dxa" w:w="1584"/>
            <w:tcBorders>
              <w:bottom w:sz="2" w:val="single" w:color="CCCCCC"/>
            </w:tcBorders>
          </w:tcPr>
          <w:p>
            <w:pPr>
              <w:jc w:val="right"/>
            </w:pPr>
            <w:r>
              <w:rPr>
                <w:sz w:val="17"/>
              </w:rPr>
              <w:t>[0, 7]</w:t>
            </w:r>
          </w:p>
        </w:tc>
        <w:tc>
          <w:tcPr>
            <w:tcW w:type="dxa" w:w="1008"/>
            <w:tcBorders>
              <w:bottom w:sz="2" w:val="single" w:color="CCCCCC"/>
            </w:tcBorders>
          </w:tcPr>
          <w:p>
            <w:pPr>
              <w:jc w:val="center"/>
            </w:pPr>
            <w:r>
              <w:rPr>
                <w:sz w:val="17"/>
              </w:rPr>
              <w:t>-0.0001</w:t>
            </w:r>
          </w:p>
        </w:tc>
      </w:tr>
      <w:tr>
        <w:tc>
          <w:tcPr>
            <w:tcW w:type="dxa" w:w="576"/>
            <w:tcBorders>
              <w:bottom w:sz="8" w:val="single" w:color="000000"/>
            </w:tcBorders>
          </w:tcPr>
          <w:p>
            <w:pPr>
              <w:jc w:val="center"/>
            </w:pPr>
            <w:r>
              <w:rPr>
                <w:sz w:val="17"/>
              </w:rPr>
              <w:t>29</w:t>
            </w:r>
          </w:p>
        </w:tc>
        <w:tc>
          <w:tcPr>
            <w:tcW w:type="dxa" w:w="2592"/>
            <w:tcBorders>
              <w:bottom w:sz="8" w:val="single" w:color="000000"/>
            </w:tcBorders>
          </w:tcPr>
          <w:p>
            <w:r>
              <w:rPr>
                <w:sz w:val="17"/>
              </w:rPr>
              <w:t>n_cambios_14</w:t>
            </w:r>
          </w:p>
        </w:tc>
        <w:tc>
          <w:tcPr>
            <w:tcW w:type="dxa" w:w="1728"/>
            <w:tcBorders>
              <w:bottom w:sz="8" w:val="single" w:color="000000"/>
            </w:tcBorders>
          </w:tcPr>
          <w:p>
            <w:r>
              <w:rPr>
                <w:sz w:val="17"/>
              </w:rPr>
              <w:t>Inercia</w:t>
            </w:r>
          </w:p>
        </w:tc>
        <w:tc>
          <w:tcPr>
            <w:tcW w:type="dxa" w:w="1440"/>
            <w:tcBorders>
              <w:bottom w:sz="8" w:val="single" w:color="000000"/>
            </w:tcBorders>
          </w:tcPr>
          <w:p>
            <w:r>
              <w:rPr>
                <w:sz w:val="17"/>
              </w:rPr>
              <w:t>conteo</w:t>
            </w:r>
          </w:p>
        </w:tc>
        <w:tc>
          <w:tcPr>
            <w:tcW w:type="dxa" w:w="864"/>
            <w:tcBorders>
              <w:bottom w:sz="8" w:val="single" w:color="000000"/>
            </w:tcBorders>
          </w:tcPr>
          <w:p>
            <w:pPr>
              <w:jc w:val="center"/>
            </w:pPr>
            <w:r>
              <w:rPr>
                <w:sz w:val="17"/>
              </w:rPr>
              <w:t>float32</w:t>
            </w:r>
          </w:p>
        </w:tc>
        <w:tc>
          <w:tcPr>
            <w:tcW w:type="dxa" w:w="1584"/>
            <w:tcBorders>
              <w:bottom w:sz="8" w:val="single" w:color="000000"/>
            </w:tcBorders>
          </w:tcPr>
          <w:p>
            <w:pPr>
              <w:jc w:val="right"/>
            </w:pPr>
            <w:r>
              <w:rPr>
                <w:sz w:val="17"/>
              </w:rPr>
              <w:t>[0, 12]</w:t>
            </w:r>
          </w:p>
        </w:tc>
        <w:tc>
          <w:tcPr>
            <w:tcW w:type="dxa" w:w="1008"/>
            <w:tcBorders>
              <w:bottom w:sz="8" w:val="single" w:color="000000"/>
            </w:tcBorders>
          </w:tcPr>
          <w:p>
            <w:pPr>
              <w:jc w:val="center"/>
            </w:pPr>
            <w:r>
              <w:rPr>
                <w:sz w:val="17"/>
              </w:rPr>
              <w:t>-0.0008</w:t>
            </w:r>
          </w:p>
        </w:tc>
      </w:tr>
    </w:tbl>
    <w:p>
      <w:pPr>
        <w:pStyle w:val="Heading1"/>
        <w:keepNext/>
        <w:spacing w:before="280" w:after="120"/>
      </w:pPr>
      <w:r>
        <w:rPr>
          <w:rFonts w:ascii="Calibri" w:hAnsi="Calibri"/>
          <w:b/>
          <w:color w:val="000000"/>
          <w:sz w:val="28"/>
        </w:rPr>
        <w:t>5. Decisiones de Ingeniería de Datos y Mitigación de Colinealidad</w:t>
      </w:r>
    </w:p>
    <w:p>
      <w:pPr>
        <w:spacing w:after="80"/>
      </w:pPr>
      <w:r>
        <w:rPr>
          <w:b/>
        </w:rPr>
        <w:t xml:space="preserve">• Imputación de Valores Faltantes: </w:t>
      </w:r>
      <w:r>
        <w:t>En variables de cálculo diferencial inicial (como delta_1_pct o volatilidad_7), los valores nulos derivados de establecimientos recién incorporados sin historial previo se imputaron de forma determinística con 0.0 (ausencia de variación empírica). En frac_subidas_28, se asignó el valor a priori neutral 0.50 ante la ausencia total de movimientos.</w:t>
      </w:r>
    </w:p>
    <w:p>
      <w:pPr>
        <w:spacing w:after="80"/>
      </w:pPr>
      <w:r>
        <w:rPr>
          <w:b/>
        </w:rPr>
        <w:t xml:space="preserve">• Tolerancia a la Multicolinealidad (Diagnóstico VIF): </w:t>
      </w:r>
      <w:r>
        <w:t>En el análisis VIF se identificaron valores superiores a 10 en desv_media_movil_pct (VIF = 22.4) y delta_7_pct (VIF = 10.1). Se justificó técnicamente conservar ambas variables dado que los modelos base de la investigación son algoritmos de partición recursiva no lineal basados en árboles (CatBoost, LightGBM, XGBoost, Random Forest), los cuales son formalmente robustos ante colinealidad global sin degradar los gradientes de decisión.</w:t>
      </w:r>
    </w:p>
    <w:p>
      <w:pPr>
        <w:spacing w:after="80"/>
      </w:pPr>
      <w:r>
        <w:rPr>
          <w:b/>
        </w:rPr>
        <w:t xml:space="preserve">• Invarianza de Escala: </w:t>
      </w:r>
      <w:r>
        <w:t>No se aplicó estandarización (Z-score) ni normalización (MinMax), dado que los árboles de decisión son estrictamente invariantes ante transformaciones monótonas crecientes de los predictores, preservando así la interpretación directa de los valores físicos en soles, galones y días.</w:t>
      </w:r>
    </w:p>
    <w:p>
      <w:pPr>
        <w:spacing w:after="80"/>
      </w:pPr>
      <w:r>
        <w:rPr>
          <w:b/>
        </w:rPr>
        <w:t xml:space="preserve">• Codificación de Categóricas: </w:t>
      </w:r>
      <w:r>
        <w:t>CatBoost procesa las variables categóricas (combustible_code, actividad_code, depto_code) mediante codificación estadística nativa sobre particiones ordenadas; LightGBM y XGBoost emplean histogramas óptimos de partición; mientras que Random Forest utiliza representación directa.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