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2937"/>
          <w:sz w:val="34"/>
        </w:rPr>
        <w:t>Guía para presentar el proyecto a Osinergmin</w:t>
      </w:r>
    </w:p>
    <w:p>
      <w:pPr>
        <w:spacing w:after="200"/>
      </w:pPr>
      <w:r>
        <w:rPr>
          <w:b w:val="0"/>
          <w:i/>
          <w:sz w:val="19"/>
        </w:rPr>
        <w:t>Uso interno del equipo de tesis · octubre de 2026</w:t>
      </w:r>
    </w:p>
    <w:p>
      <w:pPr>
        <w:keepNext/>
        <w:spacing w:before="200" w:after="80"/>
      </w:pPr>
      <w:r>
        <w:rPr>
          <w:b/>
          <w:i w:val="0"/>
          <w:color w:val="0F5E5C"/>
          <w:sz w:val="26"/>
        </w:rPr>
        <w:t>1. El mensaje en una frase</w:t>
      </w:r>
    </w:p>
    <w:p>
      <w:pPr>
        <w:jc w:val="both"/>
      </w:pPr>
      <w:r>
        <w:rPr>
          <w:b w:val="0"/>
          <w:i w:val="0"/>
        </w:rPr>
        <w:t xml:space="preserve">«Con los precios que Osinergmin ya recibe y publica, proponemos un </w:t>
      </w:r>
      <w:r>
        <w:rPr>
          <w:b/>
          <w:i w:val="0"/>
        </w:rPr>
        <w:t>método para ordenar cada día a qué establecimientos conviene mirar primero</w:t>
      </w:r>
      <w:r>
        <w:rPr>
          <w:b w:val="0"/>
          <w:i w:val="0"/>
        </w:rPr>
        <w:t>, porque su precio tiene más probabilidad de cambiar en los próximos 5 días. Queremos saber si les sería útil y qué le falta.»</w:t>
      </w:r>
    </w:p>
    <w:p>
      <w:pPr>
        <w:jc w:val="both"/>
      </w:pPr>
      <w:r>
        <w:rPr>
          <w:b w:val="0"/>
          <w:i w:val="0"/>
        </w:rPr>
        <w:t xml:space="preserve">Se presenta como un </w:t>
      </w:r>
      <w:r>
        <w:rPr>
          <w:b/>
          <w:i w:val="0"/>
        </w:rPr>
        <w:t>método de priorización a validar con ellos</w:t>
      </w:r>
      <w:r>
        <w:rPr>
          <w:b w:val="0"/>
          <w:i w:val="0"/>
        </w:rPr>
        <w:t>, no como la solución a un problema grave que nosotros descubrimos. Así el problema no depende de afirmar cosas sobre Osinergmin que no podemos probar.</w:t>
      </w:r>
    </w:p>
    <w:p>
      <w:pPr>
        <w:keepNext/>
        <w:spacing w:before="200" w:after="80"/>
      </w:pPr>
      <w:r>
        <w:rPr>
          <w:b/>
          <w:i w:val="0"/>
          <w:color w:val="0F5E5C"/>
          <w:sz w:val="26"/>
        </w:rPr>
        <w:t>2. Qué podemos afirmar y qué no</w:t>
      </w:r>
    </w:p>
    <w:p>
      <w:pPr>
        <w:jc w:val="both"/>
      </w:pPr>
      <w:r>
        <w:rPr>
          <w:b w:val="0"/>
          <w:i w:val="0"/>
        </w:rPr>
        <w:t>Revisamos los documentos que tenemos de Osinergmin. Esto es lo que dicen y lo que 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1F293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Afirmación</w:t>
            </w:r>
          </w:p>
        </w:tc>
        <w:tc>
          <w:tcPr>
            <w:tcW w:type="dxa" w:w="4139"/>
            <w:shd w:val="clear" w:color="auto" w:fill="1F293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Respaldo</w:t>
            </w:r>
          </w:p>
        </w:tc>
        <w:tc>
          <w:tcPr>
            <w:tcW w:type="dxa" w:w="2324"/>
            <w:shd w:val="clear" w:color="auto" w:fill="1F293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¿Se puede decir?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Los establecimientos deben reportar sus precios al SCOP y Osinergmin los publica.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Informe GSE/DSR-1875-2026, que cita el procedimiento PRICE (RCD N.° 256-2021-OS/CD, art. 17).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Sí.</w:t>
            </w:r>
            <w:r>
              <w:rPr>
                <w:b w:val="0"/>
                <w:sz w:val="19"/>
              </w:rPr>
              <w:t xml:space="preserve"> Es la base más sólida.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Osinergmin estudió el fenómeno «cohetes y plumas» (los precios suben rápido y bajan lento).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Reporte de Análisis Económico Sectorial de Hidrocarburos, marzo de 2016; Documentos de Trabajo 39 (2017) y 49 (2020) de la GPAE.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Sí, como contexto.</w:t>
            </w:r>
            <w:r>
              <w:rPr>
                <w:b w:val="0"/>
                <w:sz w:val="19"/>
              </w:rPr>
              <w:t xml:space="preserve"> Aclarar que nuestro modelo predice si el precio cambia, no mide esa asimetría.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Osinergmin pide un análisis más riguroso.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El DT 39 concluye que hay evidencia preliminar de asimetría en el GLP de Lima y Lambayeque y que es necesario continuar la investigación.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Solo así:</w:t>
            </w:r>
            <w:r>
              <w:rPr>
                <w:b w:val="0"/>
                <w:sz w:val="19"/>
              </w:rPr>
              <w:t xml:space="preserve"> «sus propios estudios recomiendan seguir investigando la dinámica de precios».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Osinergmin quiere priorizar establecimientos para supervisar.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 lo encontramos en esos documentos.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Mejor preguntárselo en la reunión.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El modelo detecta infractores o precios mal reportados.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No: el modelo predice cambios de precio, no incumplimientos.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No.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Que un cambio de precio sea un momento de riesgo para el consumidor.</w:t>
            </w:r>
          </w:p>
        </w:tc>
        <w:tc>
          <w:tcPr>
            <w:tcW w:type="dxa" w:w="413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 una hipótesis de la tesis; no se comprobó con datos de supervisión.</w:t>
            </w:r>
          </w:p>
        </w:tc>
        <w:tc>
          <w:tcPr>
            <w:tcW w:type="dxa" w:w="232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Como hipótesis</w:t>
            </w:r>
            <w:r>
              <w:rPr>
                <w:b w:val="0"/>
                <w:sz w:val="19"/>
              </w:rPr>
              <w:t>, y pedir su opinión.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i w:val="0"/>
          <w:color w:val="0F5E5C"/>
          <w:sz w:val="26"/>
        </w:rPr>
        <w:t>3. Cómo plantear el problema sin exagerar</w:t>
      </w:r>
    </w:p>
    <w:p>
      <w:pPr>
        <w:jc w:val="both"/>
      </w:pPr>
      <w:r>
        <w:rPr>
          <w:b w:val="0"/>
          <w:i w:val="0"/>
        </w:rPr>
        <w:t>El problema se sostiene con los datos, sin necesidad de atribuirle nada a Osinergmin: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 xml:space="preserve">– Hay </w:t>
      </w:r>
      <w:r>
        <w:rPr>
          <w:b/>
          <w:i w:val="0"/>
        </w:rPr>
        <w:t>24 771 establecimientos</w:t>
      </w:r>
      <w:r>
        <w:rPr>
          <w:b w:val="0"/>
          <w:i w:val="0"/>
        </w:rPr>
        <w:t xml:space="preserve"> que reportan precios de 5 combustibles.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 xml:space="preserve">– El precio </w:t>
      </w:r>
      <w:r>
        <w:rPr>
          <w:b/>
          <w:i w:val="0"/>
        </w:rPr>
        <w:t>no cambia en el 95,35 % de los días</w:t>
      </w:r>
      <w:r>
        <w:rPr>
          <w:b w:val="0"/>
          <w:i w:val="0"/>
        </w:rPr>
        <w:t>: los cambios son pocos y difíciles de anticipar a simple vista.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 xml:space="preserve">– Ninguna institución puede mirar todo cada día, así que </w:t>
      </w:r>
      <w:r>
        <w:rPr>
          <w:b/>
          <w:i w:val="0"/>
        </w:rPr>
        <w:t>alguien tiene que decidir por dónde empezar</w:t>
      </w:r>
      <w:r>
        <w:rPr>
          <w:b w:val="0"/>
          <w:i w:val="0"/>
        </w:rPr>
        <w:t>.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>– Proponemos una forma ordenada, medible y transparente de hacerlo, que explica cada caso con razones (SHAP).</w:t>
      </w:r>
    </w:p>
    <w:p>
      <w:pPr>
        <w:keepNext/>
        <w:spacing w:before="200" w:after="80"/>
      </w:pPr>
      <w:r>
        <w:rPr>
          <w:b/>
          <w:i w:val="0"/>
          <w:color w:val="0F5E5C"/>
          <w:sz w:val="26"/>
        </w:rPr>
        <w:t>4. Cifras que se pueden mostrar (prueba de enero a setiembre de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75"/>
            <w:shd w:val="clear" w:color="auto" w:fill="1F293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Qué se mide</w:t>
            </w:r>
          </w:p>
        </w:tc>
        <w:tc>
          <w:tcPr>
            <w:tcW w:type="dxa" w:w="1020"/>
            <w:shd w:val="clear" w:color="auto" w:fill="1F293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361"/>
            <w:shd w:val="clear" w:color="auto" w:fill="1F293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Regla simple</w:t>
            </w:r>
          </w:p>
        </w:tc>
        <w:tc>
          <w:tcPr>
            <w:tcW w:type="dxa" w:w="3855"/>
            <w:shd w:val="clear" w:color="auto" w:fill="1F293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Cómo decirlo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Orden de toda la lista (AUC diario)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0,746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0,725 y 0,704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Ordena mejor en los 9 meses.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Aciertos en los 10 primeros de cada región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66 %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64 %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Ligera ventaja en la escala regional.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Aciertos en los 100 primeros del país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78 %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79 %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Empate.</w:t>
            </w:r>
            <w:r>
              <w:rPr>
                <w:b w:val="0"/>
                <w:sz w:val="19"/>
              </w:rPr>
              <w:t xml:space="preserve"> Decirlo así; fue por el choque de precios de marzo.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Establecimientos nunca vistos (100 primeros)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74 %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Funciona con grifos que no usó para aprender.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Elegir al azar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≈ 33 %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Referencia para ver cuánto aporta ordenar.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i w:val="0"/>
          <w:color w:val="0F5E5C"/>
          <w:sz w:val="26"/>
        </w:rPr>
        <w:t>5. Estructura de la reunión (45 minutos)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134"/>
            <w:shd w:val="clear" w:color="auto" w:fill="1F293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Minutos</w:t>
            </w:r>
          </w:p>
        </w:tc>
        <w:tc>
          <w:tcPr>
            <w:tcW w:type="dxa" w:w="8277"/>
            <w:shd w:val="clear" w:color="auto" w:fill="1F293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0–5</w:t>
            </w:r>
          </w:p>
        </w:tc>
        <w:tc>
          <w:tcPr>
            <w:tcW w:type="dxa" w:w="827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Presentación del equipo y agradecimiento por la información (citar el Informe GSE/DSR-1875-2026).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5–15</w:t>
            </w:r>
          </w:p>
        </w:tc>
        <w:tc>
          <w:tcPr>
            <w:tcW w:type="dxa" w:w="827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Problema y método: las 4 ideas de la sección 3 y un diagrama. Sin fórmulas.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15–30</w:t>
            </w:r>
          </w:p>
        </w:tc>
        <w:tc>
          <w:tcPr>
            <w:tcW w:type="dxa" w:w="827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Demostración del sistema: lista del día por región, razones de un caso, comprobación contra el SCOP. Usar el guion 07 del kit Delphi.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30–40</w:t>
            </w:r>
          </w:p>
        </w:tc>
        <w:tc>
          <w:tcPr>
            <w:tcW w:type="dxa" w:w="827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Escuchar</w:t>
            </w:r>
            <w:r>
              <w:rPr>
                <w:b w:val="0"/>
                <w:sz w:val="19"/>
              </w:rPr>
              <w:t>: hacer las preguntas de la sección 6.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40–45</w:t>
            </w:r>
          </w:p>
        </w:tc>
        <w:tc>
          <w:tcPr>
            <w:tcW w:type="dxa" w:w="8277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Próximos pasos: conformidad de uso, especialistas validadores y fecha de la ronda 1 del Delphi.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i w:val="0"/>
          <w:color w:val="0F5E5C"/>
          <w:sz w:val="26"/>
        </w:rPr>
        <w:t>6. Preguntas para hacerles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>– ¿Cómo deciden hoy qué establecimientos supervisar primero en temas de precios?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>– ¿Qué información usan para esa decisión?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>– ¿Les serviría una lista diaria por región? ¿De qué largo?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>– ¿Qué le faltaría al método para que lo consideren útil?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>– ¿Existe información de resultados de supervisión que podría usarse, de forma anónima, para comprobar la hipótesis de la tesis?</w:t>
      </w:r>
    </w:p>
    <w:p>
      <w:pPr>
        <w:keepNext/>
        <w:spacing w:before="200" w:after="80"/>
      </w:pPr>
      <w:r>
        <w:rPr>
          <w:b/>
          <w:i w:val="0"/>
          <w:color w:val="0F5E5C"/>
          <w:sz w:val="26"/>
        </w:rPr>
        <w:t>7. Preguntas difíciles y respuestas honestas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1F293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Si preguntan…</w:t>
            </w:r>
          </w:p>
        </w:tc>
        <w:tc>
          <w:tcPr>
            <w:tcW w:type="dxa" w:w="6463"/>
            <w:shd w:val="clear" w:color="auto" w:fill="1F2937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Responder…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¿Por qué un cambio de precio indica riesgo?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 la hipótesis de trabajo: al cambiar el precio puede haber diferencia entre lo registrado y lo cobrado. No la comprobamos con datos de supervisión porque no son públicos; por eso pedimos su opinión.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En los 100 primeros, el modelo empata con una regla simple.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Es cierto. Gana en el orden de toda la lista, en las listas regionales y funciona con establecimientos nuevos; además explica cada caso.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¿Esto reemplaza al supervisor?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No. Solo ordena; la decisión siempre es del especialista.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¿Qué pasa con los datos de las empresas?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Se usan con seudónimo, sin RUC ni dirección, y los resultados se publican de forma agregada.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i w:val="0"/>
          <w:color w:val="0F5E5C"/>
          <w:sz w:val="26"/>
        </w:rPr>
        <w:t>8. Qué llevar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>– Carta de solicitud firmada y resumen ejecutivo de 1 página.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>– Sistema funcionando en una laptop (iniciar_sistema.bat) y, como respaldo, el dashboard estático.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>– Diagrama metodológico y ficha del kit Delphi (02).</w:t>
      </w:r>
    </w:p>
    <w:p>
      <w:pPr>
        <w:spacing w:after="60"/>
        <w:ind w:left="624" w:hanging="283"/>
        <w:jc w:val="both"/>
      </w:pPr>
      <w:r>
        <w:rPr>
          <w:b w:val="0"/>
          <w:i w:val="0"/>
        </w:rPr>
        <w:t>– Copia del Informe GSE/DSR-1875-2026.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