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color w:val="000000"/>
        </w:rPr>
        <w:t>Resultados Oficiales de Modelos Individuales y Ensambles</w:t>
      </w:r>
    </w:p>
    <w:p>
      <w:pPr>
        <w:spacing w:before="60" w:after="60"/>
        <w:ind w:left="432"/>
      </w:pPr>
      <w:r>
        <w:rPr>
          <w:b/>
          <w:i/>
          <w:color w:val="000000"/>
          <w:u w:val="none"/>
        </w:rPr>
        <w:t>Documento Maestro de Resultados Empíricos y Auditoría Experimental</w:t>
      </w:r>
    </w:p>
    <w:p>
      <w:pPr>
        <w:spacing w:before="60" w:after="60"/>
        <w:ind w:left="432"/>
      </w:pPr>
      <w:r>
        <w:rPr>
          <w:b w:val="0"/>
          <w:i/>
          <w:color w:val="000000"/>
          <w:u w:val="none"/>
        </w:rPr>
        <w:t>Caso de Estudio:</w:t>
      </w:r>
      <w:r>
        <w:rPr>
          <w:b w:val="0"/>
          <w:i/>
          <w:color w:val="000000"/>
          <w:u w:val="none"/>
        </w:rPr>
        <w:t xml:space="preserve"> Priorización Diaria de Supervisión del SCOP (Osinergmin, Perú)</w:t>
      </w:r>
    </w:p>
    <w:p>
      <w:pPr>
        <w:spacing w:before="60" w:after="60"/>
        <w:ind w:left="432"/>
      </w:pPr>
      <w:r>
        <w:rPr>
          <w:b w:val="0"/>
          <w:i/>
          <w:color w:val="000000"/>
          <w:u w:val="none"/>
        </w:rPr>
        <w:t>Esquema Experimental:</w:t>
      </w:r>
      <w:r>
        <w:rPr>
          <w:b w:val="0"/>
          <w:i/>
          <w:color w:val="000000"/>
          <w:u w:val="none"/>
        </w:rPr>
        <w:t xml:space="preserve"> Validación Temporal Walk-Forward en 12 Bloques Mensuales (2025) y Prueba Operativa Real (262 Días de 2026).</w:t>
      </w:r>
    </w:p>
    <w:p>
      <w:pPr>
        <w:spacing w:before="60" w:after="60"/>
        <w:ind w:left="432"/>
      </w:pPr>
      <w:r>
        <w:rPr>
          <w:b w:val="0"/>
          <w:i/>
          <w:color w:val="000000"/>
          <w:u w:val="none"/>
        </w:rPr>
        <w:t>Convención:</w:t>
      </w:r>
      <w:r>
        <w:rPr>
          <w:b w:val="0"/>
          <w:i/>
          <w:color w:val="000000"/>
          <w:u w:val="none"/>
        </w:rPr>
        <w:t xml:space="preserve"> Los valores destacados con </w:t>
      </w:r>
      <w:r>
        <w:rPr>
          <w:b/>
          <w:i/>
          <w:color w:val="000000"/>
          <w:u w:val="single"/>
        </w:rPr>
        <w:t>negrita y subrayado</w:t>
      </w:r>
      <w:r>
        <w:rPr>
          <w:b w:val="0"/>
          <w:i/>
          <w:color w:val="000000"/>
          <w:u w:val="none"/>
        </w:rPr>
        <w:t xml:space="preserve"> indican el </w:t>
      </w:r>
      <w:r>
        <w:rPr>
          <w:b/>
          <w:i/>
          <w:color w:val="000000"/>
          <w:u w:val="none"/>
        </w:rPr>
        <w:t>mejor valor de cada métrica</w:t>
      </w:r>
      <w:r>
        <w:rPr>
          <w:b w:val="0"/>
          <w:i/>
          <w:color w:val="000000"/>
          <w:u w:val="none"/>
        </w:rPr>
        <w:t xml:space="preserve"> dentro de su respectiva tabla comparativa.</w:t>
      </w:r>
    </w:p>
    <w:p>
      <w:pPr>
        <w:pStyle w:val="Heading2"/>
        <w:spacing w:before="200" w:after="80"/>
      </w:pPr>
      <w:r>
        <w:rPr>
          <w:color w:val="000000"/>
        </w:rPr>
        <w:t>Guía de Interpretación de Métricas</w:t>
      </w:r>
    </w:p>
    <w:p>
      <w:pPr>
        <w:spacing w:before="60" w:after="80"/>
      </w:pPr>
      <w:r>
        <w:rPr>
          <w:b w:val="0"/>
          <w:i w:val="0"/>
          <w:color w:val="000000"/>
          <w:u w:val="none"/>
        </w:rPr>
        <w:t>Para la priorización diaria de supervisión y fiscalización se reportan 5 métricas complementarias centradas en ranking y calibración:</w:t>
      </w:r>
    </w:p>
    <w:p>
      <w:pPr>
        <w:pStyle w:val="ListNumber"/>
        <w:spacing w:before="20" w:after="40"/>
      </w:pPr>
      <w:r>
        <w:rPr>
          <w:b/>
          <w:i w:val="0"/>
          <w:color w:val="000000"/>
          <w:u w:val="none"/>
        </w:rPr>
        <w:t>AUC (ROC-AUC)</w:t>
      </w:r>
      <w:r>
        <w:rPr>
          <w:b w:val="0"/>
          <w:i w:val="0"/>
          <w:color w:val="000000"/>
          <w:u w:val="none"/>
        </w:rPr>
        <w:t xml:space="preserve"> (</w:t>
      </w:r>
      <w:r>
        <w:rPr>
          <w:b w:val="0"/>
          <w:i w:val="0"/>
          <w:color w:val="000000"/>
          <w:u w:val="none"/>
        </w:rPr>
        <w:t>\uparrow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 w:val="0"/>
          <w:i/>
          <w:color w:val="000000"/>
          <w:u w:val="none"/>
        </w:rPr>
        <w:t>mayor es mejor</w:t>
      </w:r>
      <w:r>
        <w:rPr>
          <w:b w:val="0"/>
          <w:i w:val="0"/>
          <w:color w:val="000000"/>
          <w:u w:val="none"/>
        </w:rPr>
        <w:t>):</w:t>
      </w:r>
    </w:p>
    <w:p>
      <w:pPr>
        <w:spacing w:before="60" w:after="80"/>
      </w:pPr>
      <w:r>
        <w:rPr>
          <w:b w:val="0"/>
          <w:i w:val="0"/>
          <w:color w:val="000000"/>
          <w:u w:val="none"/>
        </w:rPr>
        <w:t>Capacidad global del modelo para ordenar y discriminar entre establecimientos que cambiarán y no cambiarán de precio a través de todos los umbrales posibles (0.50 = azar puro, 1.00 = separación perfecta).</w:t>
      </w:r>
    </w:p>
    <w:p>
      <w:pPr>
        <w:pStyle w:val="ListNumber"/>
        <w:spacing w:before="20" w:after="40"/>
      </w:pPr>
      <w:r>
        <w:rPr>
          <w:b/>
          <w:i w:val="0"/>
          <w:color w:val="000000"/>
          <w:u w:val="none"/>
        </w:rPr>
        <w:t>Precisión en el Top $K$ ($p@50$, $p@100$, $p@250$)</w:t>
      </w:r>
      <w:r>
        <w:rPr>
          <w:b w:val="0"/>
          <w:i w:val="0"/>
          <w:color w:val="000000"/>
          <w:u w:val="none"/>
        </w:rPr>
        <w:t xml:space="preserve"> (</w:t>
      </w:r>
      <w:r>
        <w:rPr>
          <w:b w:val="0"/>
          <w:i w:val="0"/>
          <w:color w:val="000000"/>
          <w:u w:val="none"/>
        </w:rPr>
        <w:t>\uparrow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 w:val="0"/>
          <w:i/>
          <w:color w:val="000000"/>
          <w:u w:val="none"/>
        </w:rPr>
        <w:t>mayor es mejor</w:t>
      </w:r>
      <w:r>
        <w:rPr>
          <w:b w:val="0"/>
          <w:i w:val="0"/>
          <w:color w:val="000000"/>
          <w:u w:val="none"/>
        </w:rPr>
        <w:t>):</w:t>
      </w:r>
    </w:p>
    <w:p>
      <w:pPr>
        <w:spacing w:before="60" w:after="80"/>
      </w:pPr>
      <w:r>
        <w:rPr>
          <w:b w:val="0"/>
          <w:i w:val="0"/>
          <w:color w:val="000000"/>
          <w:u w:val="none"/>
        </w:rPr>
        <w:t xml:space="preserve">Porcentaje de establecimientos que </w:t>
      </w:r>
      <w:r>
        <w:rPr>
          <w:b/>
          <w:i w:val="0"/>
          <w:color w:val="000000"/>
          <w:u w:val="none"/>
        </w:rPr>
        <w:t>efectivamente modificaron su precio en los 5 días posteriores a la visita</w:t>
      </w:r>
      <w:r>
        <w:rPr>
          <w:b w:val="0"/>
          <w:i w:val="0"/>
          <w:color w:val="000000"/>
          <w:u w:val="none"/>
        </w:rPr>
        <w:t xml:space="preserve"> entre los primeros </w:t>
      </w:r>
      <w:r>
        <w:rPr>
          <w:b w:val="0"/>
          <w:i w:val="0"/>
          <w:color w:val="000000"/>
          <w:u w:val="none"/>
        </w:rPr>
        <w:t>K</w:t>
      </w:r>
      <w:r>
        <w:rPr>
          <w:b w:val="0"/>
          <w:i w:val="0"/>
          <w:color w:val="000000"/>
          <w:u w:val="none"/>
        </w:rPr>
        <w:t xml:space="preserve"> casos con mayor probabilidad asignada cada medianoche. Es la métrica directa de eficiencia de las cuadrillas de fiscalización en campo.</w:t>
      </w:r>
    </w:p>
    <w:p>
      <w:pPr>
        <w:pStyle w:val="ListNumber"/>
        <w:spacing w:before="20" w:after="40"/>
      </w:pPr>
      <w:r>
        <w:rPr>
          <w:b/>
          <w:i w:val="0"/>
          <w:color w:val="000000"/>
          <w:u w:val="none"/>
        </w:rPr>
        <w:t>Brier Score</w:t>
      </w:r>
      <w:r>
        <w:rPr>
          <w:b w:val="0"/>
          <w:i w:val="0"/>
          <w:color w:val="000000"/>
          <w:u w:val="none"/>
        </w:rPr>
        <w:t xml:space="preserve"> (</w:t>
      </w:r>
      <w:r>
        <w:rPr>
          <w:b w:val="0"/>
          <w:i w:val="0"/>
          <w:color w:val="000000"/>
          <w:u w:val="none"/>
        </w:rPr>
        <w:t>\downarrow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&lt;u&gt;menor es mejor&lt;/u&gt;</w:t>
      </w:r>
      <w:r>
        <w:rPr>
          <w:b w:val="0"/>
          <w:i w:val="0"/>
          <w:color w:val="000000"/>
          <w:u w:val="none"/>
        </w:rPr>
        <w:t>):</w:t>
      </w:r>
    </w:p>
    <w:p>
      <w:pPr>
        <w:spacing w:before="60" w:after="80"/>
      </w:pPr>
      <w:r>
        <w:rPr>
          <w:b w:val="0"/>
          <w:i w:val="0"/>
          <w:color w:val="000000"/>
          <w:u w:val="none"/>
        </w:rPr>
        <w:t xml:space="preserve">Error cuadrático medio de calibración probabilística: </w:t>
      </w:r>
      <w:r>
        <w:rPr>
          <w:b w:val="0"/>
          <w:i w:val="0"/>
          <w:color w:val="000000"/>
          <w:u w:val="none"/>
        </w:rPr>
        <w:t>\text{Brier} = \frac{1}{N} \sum_{i=1}^N (P_i - y_i)^2</w:t>
      </w:r>
      <w:r>
        <w:rPr>
          <w:b w:val="0"/>
          <w:i w:val="0"/>
          <w:color w:val="000000"/>
          <w:u w:val="none"/>
        </w:rPr>
        <w:t>. Un valor menor indica que las probabilidades asignadas por el modelo reflejan con mayor fidelidad la frecuencia real de los eventos en el mercado.</w:t>
      </w:r>
    </w:p>
    <w:p>
      <w:pPr>
        <w:pStyle w:val="ListNumber"/>
        <w:spacing w:before="20" w:after="40"/>
      </w:pPr>
      <w:r>
        <w:rPr>
          <w:b/>
          <w:i w:val="0"/>
          <w:color w:val="000000"/>
          <w:u w:val="none"/>
        </w:rPr>
        <w:t>Criterio Multicriterio ("Supera a Todos los Individuales")</w:t>
      </w:r>
      <w:r>
        <w:rPr>
          <w:b w:val="0"/>
          <w:i w:val="0"/>
          <w:color w:val="000000"/>
          <w:u w:val="none"/>
        </w:rPr>
        <w:t>:</w:t>
      </w:r>
    </w:p>
    <w:p>
      <w:pPr>
        <w:spacing w:before="60" w:after="80"/>
      </w:pPr>
      <w:r>
        <w:rPr>
          <w:b w:val="0"/>
          <w:i w:val="0"/>
          <w:color w:val="000000"/>
          <w:u w:val="none"/>
        </w:rPr>
        <w:t>Exigencia metodológica para que un ensamble sea considerado viable: requiere superar simultáneamente al mejor modelo individual en las 4 métricas cardinales (</w:t>
      </w:r>
      <w:r>
        <w:rPr>
          <w:b/>
          <w:i w:val="0"/>
          <w:color w:val="000000"/>
          <w:u w:val="none"/>
        </w:rPr>
        <w:t>AUC, $p@100$, $p@250$ y Brier Score</w:t>
      </w:r>
      <w:r>
        <w:rPr>
          <w:b w:val="0"/>
          <w:i w:val="0"/>
          <w:color w:val="000000"/>
          <w:u w:val="none"/>
        </w:rPr>
        <w:t>).</w:t>
      </w:r>
    </w:p>
    <w:p>
      <w:pPr>
        <w:pStyle w:val="Heading2"/>
        <w:spacing w:before="200" w:after="80"/>
      </w:pPr>
      <w:r>
        <w:rPr>
          <w:color w:val="000000"/>
        </w:rPr>
        <w:t>Sección 1: Resultados de los Modelos Individuales</w:t>
      </w:r>
    </w:p>
    <w:p>
      <w:pPr>
        <w:spacing w:before="60" w:after="80"/>
      </w:pPr>
      <w:r>
        <w:rPr>
          <w:b w:val="0"/>
          <w:i w:val="0"/>
          <w:color w:val="000000"/>
          <w:u w:val="none"/>
        </w:rPr>
        <w:t>En esta sección se reportan los resultados de los cuatro modelos de aprendizaje automático base entrenados de forma individual sobre el vector completo de 29 variables predictivas.</w:t>
      </w:r>
    </w:p>
    <w:p>
      <w:pPr>
        <w:pStyle w:val="Heading3"/>
        <w:spacing w:before="160" w:after="60"/>
      </w:pPr>
      <w:r>
        <w:rPr>
          <w:color w:val="000000"/>
        </w:rPr>
        <w:t>1.1 Tabla Comparativa de los 4 Modelos Base Principales</w:t>
      </w:r>
    </w:p>
    <w:p>
      <w:pPr>
        <w:spacing w:before="60" w:after="80"/>
      </w:pPr>
      <w:r>
        <w:rPr>
          <w:b w:val="0"/>
          <w:i w:val="0"/>
          <w:color w:val="000000"/>
          <w:u w:val="none"/>
        </w:rPr>
        <w:t>Promedios consolidados a lo largo de los 12 bloques mensuales de validación temporal (2025):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Modelo / Estrategia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AUC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Precisión@50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Precisión@100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Precisión@250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Brier Score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CatBoost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0.7328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69.04%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61.87%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52.55%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0.1039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LightGBM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0.7326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68.87%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61.54%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52.26%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0.1037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XGBoost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0.7333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69.08%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61.70%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52.45%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0.1040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Random Forest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0.7282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68.53%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61.00%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52.12%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0.1037</w:t>
            </w:r>
          </w:p>
        </w:tc>
      </w:tr>
    </w:tbl>
    <w:p>
      <w:pPr/>
    </w:p>
    <w:p>
      <w:pPr>
        <w:pStyle w:val="Heading4"/>
        <w:spacing w:before="120" w:after="40"/>
      </w:pPr>
      <w:r>
        <w:rPr>
          <w:color w:val="000000"/>
        </w:rPr>
        <w:t>Análisis Detallado de los Modelos Base:</w:t>
      </w:r>
    </w:p>
    <w:p>
      <w:pPr>
        <w:pStyle w:val="ListBullet"/>
        <w:spacing w:before="20" w:after="40"/>
      </w:pPr>
      <w:r>
        <w:rPr>
          <w:b/>
          <w:i w:val="0"/>
          <w:color w:val="000000"/>
          <w:u w:val="none"/>
        </w:rPr>
        <w:t>XGBoost:</w:t>
      </w:r>
      <w:r>
        <w:rPr>
          <w:b w:val="0"/>
          <w:i w:val="0"/>
          <w:color w:val="000000"/>
          <w:u w:val="none"/>
        </w:rPr>
        <w:t xml:space="preserve"> Obtiene el </w:t>
      </w:r>
      <w:r>
        <w:rPr>
          <w:b/>
          <w:i w:val="0"/>
          <w:color w:val="000000"/>
          <w:u w:val="none"/>
        </w:rPr>
        <w:t>mayor AUC individual (&lt;u&gt;0.7333&lt;/u&gt;)</w:t>
      </w:r>
      <w:r>
        <w:rPr>
          <w:b w:val="0"/>
          <w:i w:val="0"/>
          <w:color w:val="000000"/>
          <w:u w:val="none"/>
        </w:rPr>
        <w:t xml:space="preserve"> y la </w:t>
      </w:r>
      <w:r>
        <w:rPr>
          <w:b/>
          <w:i w:val="0"/>
          <w:color w:val="000000"/>
          <w:u w:val="none"/>
        </w:rPr>
        <w:t>mayor Precisión@50 (&lt;u&gt;69.08%&lt;/u&gt;)</w:t>
      </w:r>
      <w:r>
        <w:rPr>
          <w:b w:val="0"/>
          <w:i w:val="0"/>
          <w:color w:val="000000"/>
          <w:u w:val="none"/>
        </w:rPr>
        <w:t>. Demuestra la mejor capacidad global de discriminación y ordenamiento en el extremo superior de la lista diaria.</w:t>
      </w:r>
    </w:p>
    <w:p>
      <w:pPr>
        <w:pStyle w:val="ListBullet"/>
        <w:spacing w:before="20" w:after="40"/>
      </w:pPr>
      <w:r>
        <w:rPr>
          <w:b/>
          <w:i w:val="0"/>
          <w:color w:val="000000"/>
          <w:u w:val="none"/>
        </w:rPr>
        <w:t>CatBoost:</w:t>
      </w:r>
      <w:r>
        <w:rPr>
          <w:b w:val="0"/>
          <w:i w:val="0"/>
          <w:color w:val="000000"/>
          <w:u w:val="none"/>
        </w:rPr>
        <w:t xml:space="preserve"> Es el algoritmo líder en la zona operativa de fiscalización estándar: logra la </w:t>
      </w:r>
      <w:r>
        <w:rPr>
          <w:b/>
          <w:i w:val="0"/>
          <w:color w:val="000000"/>
          <w:u w:val="none"/>
        </w:rPr>
        <w:t>mayor Precisión@100 (&lt;u&gt;61.87%&lt;/u&gt;)</w:t>
      </w:r>
      <w:r>
        <w:rPr>
          <w:b w:val="0"/>
          <w:i w:val="0"/>
          <w:color w:val="000000"/>
          <w:u w:val="none"/>
        </w:rPr>
        <w:t xml:space="preserve"> y la </w:t>
      </w:r>
      <w:r>
        <w:rPr>
          <w:b/>
          <w:i w:val="0"/>
          <w:color w:val="000000"/>
          <w:u w:val="none"/>
        </w:rPr>
        <w:t>mayor Precisión@250 (&lt;u&gt;52.55%&lt;/u&gt;)</w:t>
      </w:r>
      <w:r>
        <w:rPr>
          <w:b w:val="0"/>
          <w:i w:val="0"/>
          <w:color w:val="000000"/>
          <w:u w:val="none"/>
        </w:rPr>
        <w:t xml:space="preserve"> entre los modelos base.</w:t>
      </w:r>
    </w:p>
    <w:p>
      <w:pPr>
        <w:pStyle w:val="ListBullet"/>
        <w:spacing w:before="20" w:after="40"/>
      </w:pPr>
      <w:r>
        <w:rPr>
          <w:b/>
          <w:i w:val="0"/>
          <w:color w:val="000000"/>
          <w:u w:val="none"/>
        </w:rPr>
        <w:t>LightGBM:</w:t>
      </w:r>
      <w:r>
        <w:rPr>
          <w:b w:val="0"/>
          <w:i w:val="0"/>
          <w:color w:val="000000"/>
          <w:u w:val="none"/>
        </w:rPr>
        <w:t xml:space="preserve"> Alcanza el </w:t>
      </w:r>
      <w:r>
        <w:rPr>
          <w:b/>
          <w:i w:val="0"/>
          <w:color w:val="000000"/>
          <w:u w:val="none"/>
        </w:rPr>
        <w:t>mejor Brier Score individual (&lt;u&gt;0.1037&lt;/u&gt;)</w:t>
      </w:r>
      <w:r>
        <w:rPr>
          <w:b w:val="0"/>
          <w:i w:val="0"/>
          <w:color w:val="000000"/>
          <w:u w:val="none"/>
        </w:rPr>
        <w:t>, reflejando una excelente calibración probabilística natural, junto con el menor costo computacional (0.9 segundos por bloque de entrenamiento).</w:t>
      </w:r>
    </w:p>
    <w:p>
      <w:pPr>
        <w:pStyle w:val="ListBullet"/>
        <w:spacing w:before="20" w:after="40"/>
      </w:pPr>
      <w:r>
        <w:rPr>
          <w:b/>
          <w:i w:val="0"/>
          <w:color w:val="000000"/>
          <w:u w:val="none"/>
        </w:rPr>
        <w:t>Random Forest:</w:t>
      </w:r>
      <w:r>
        <w:rPr>
          <w:b w:val="0"/>
          <w:i w:val="0"/>
          <w:color w:val="000000"/>
          <w:u w:val="none"/>
        </w:rPr>
        <w:t xml:space="preserve"> Empata en el </w:t>
      </w:r>
      <w:r>
        <w:rPr>
          <w:b/>
          <w:i w:val="0"/>
          <w:color w:val="000000"/>
          <w:u w:val="none"/>
        </w:rPr>
        <w:t>mejor Brier Score (&lt;u&gt;0.1037&lt;/u&gt;)</w:t>
      </w:r>
      <w:r>
        <w:rPr>
          <w:b w:val="0"/>
          <w:i w:val="0"/>
          <w:color w:val="000000"/>
          <w:u w:val="none"/>
        </w:rPr>
        <w:t>, pero exhibe la menor precisión en el Top 100 (61.00%) y la mayor brecha de sobreajuste entre entrenamiento y validación (</w:t>
      </w:r>
      <w:r>
        <w:rPr>
          <w:b w:val="0"/>
          <w:i w:val="0"/>
          <w:color w:val="000000"/>
          <w:u w:val="none"/>
        </w:rPr>
        <w:t>+0.0814</w:t>
      </w:r>
      <w:r>
        <w:rPr>
          <w:b w:val="0"/>
          <w:i w:val="0"/>
          <w:color w:val="000000"/>
          <w:u w:val="none"/>
        </w:rPr>
        <w:t>).</w:t>
      </w:r>
    </w:p>
    <w:p>
      <w:pPr>
        <w:pStyle w:val="Heading3"/>
        <w:spacing w:before="160" w:after="60"/>
      </w:pPr>
      <w:r>
        <w:rPr>
          <w:color w:val="000000"/>
        </w:rPr>
        <w:t>1.2 Modelos Base vs. Variantes con Calibración de Priors (Dal Pozzolo et al., 2015)</w:t>
      </w:r>
    </w:p>
    <w:p>
      <w:pPr>
        <w:spacing w:before="60" w:after="80"/>
      </w:pPr>
      <w:r>
        <w:rPr>
          <w:b w:val="0"/>
          <w:i w:val="0"/>
          <w:color w:val="000000"/>
          <w:u w:val="none"/>
        </w:rPr>
        <w:t>Comparativa de los 4 modelos entrenados con su probabilidad bruta frente a su versión calibrada analíticamente: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Modelo / Estrategia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AUC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Precisión@50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Precisión@100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Precisión@250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Brier Score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CatBoost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0.7328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69.04%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61.87%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52.55%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0.1039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CatBoost (Calibrado)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0.7328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69.04%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61.88%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52.56%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0.1076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LightGBM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0.7326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68.87%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61.54%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52.26%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0.1037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LightGBM (Calibrado)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0.7326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68.79%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61.50%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52.26%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0.1070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XGBoost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0.7333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69.08%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61.70%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52.45%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0.1040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XGBoost (Calibrado)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0.7333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69.05%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61.73%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52.42%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0.1076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Random Forest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0.7282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68.53%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61.00%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52.12%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0.1037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Random Forest (Calibrado)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0.7282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68.52%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61.00%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52.11%</w:t>
            </w:r>
          </w:p>
        </w:tc>
        <w:tc>
          <w:tcPr>
            <w:tcW w:type="dxa" w:w="156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0.1059</w:t>
            </w:r>
          </w:p>
        </w:tc>
      </w:tr>
    </w:tbl>
    <w:p>
      <w:pPr/>
    </w:p>
    <w:p>
      <w:pPr>
        <w:pStyle w:val="Heading4"/>
        <w:spacing w:before="120" w:after="40"/>
      </w:pPr>
      <w:r>
        <w:rPr>
          <w:color w:val="000000"/>
        </w:rPr>
        <w:t>Impacto de la Calibración de Dal Pozzolo:</w:t>
      </w:r>
    </w:p>
    <w:p>
      <w:pPr>
        <w:pStyle w:val="ListBullet"/>
        <w:spacing w:before="20" w:after="40"/>
      </w:pPr>
      <w:r>
        <w:rPr>
          <w:b w:val="0"/>
          <w:i w:val="0"/>
          <w:color w:val="000000"/>
          <w:u w:val="none"/>
        </w:rPr>
        <w:t>La transformación en escala logit es monótona: preserva exactamente el ranking y el AUC de cada modelo.</w:t>
      </w:r>
    </w:p>
    <w:p>
      <w:pPr>
        <w:pStyle w:val="ListBullet"/>
        <w:spacing w:before="20" w:after="40"/>
      </w:pPr>
      <w:r>
        <w:rPr>
          <w:b/>
          <w:i w:val="0"/>
          <w:color w:val="000000"/>
          <w:u w:val="none"/>
        </w:rPr>
        <w:t>CatBoost Calibrado</w:t>
      </w:r>
      <w:r>
        <w:rPr>
          <w:b w:val="0"/>
          <w:i w:val="0"/>
          <w:color w:val="000000"/>
          <w:u w:val="none"/>
        </w:rPr>
        <w:t xml:space="preserve"> alcanza el pico de precisión individual del estudio en el </w:t>
      </w:r>
      <w:r>
        <w:rPr>
          <w:b/>
          <w:i w:val="0"/>
          <w:color w:val="000000"/>
          <w:u w:val="none"/>
        </w:rPr>
        <w:t>Top 100 (&lt;u&gt;61.88%&lt;/u&gt;)</w:t>
      </w:r>
      <w:r>
        <w:rPr>
          <w:b w:val="0"/>
          <w:i w:val="0"/>
          <w:color w:val="000000"/>
          <w:u w:val="none"/>
        </w:rPr>
        <w:t xml:space="preserve"> y </w:t>
      </w:r>
      <w:r>
        <w:rPr>
          <w:b/>
          <w:i w:val="0"/>
          <w:color w:val="000000"/>
          <w:u w:val="none"/>
        </w:rPr>
        <w:t>Top 250 (&lt;u&gt;52.56%&lt;/u&gt;)</w:t>
      </w:r>
      <w:r>
        <w:rPr>
          <w:b w:val="0"/>
          <w:i w:val="0"/>
          <w:color w:val="000000"/>
          <w:u w:val="none"/>
        </w:rPr>
        <w:t>.</w:t>
      </w:r>
    </w:p>
    <w:p>
      <w:pPr>
        <w:pStyle w:val="ListBullet"/>
        <w:spacing w:before="20" w:after="40"/>
      </w:pPr>
      <w:r>
        <w:rPr>
          <w:b w:val="0"/>
          <w:i w:val="0"/>
          <w:color w:val="000000"/>
          <w:u w:val="none"/>
        </w:rPr>
        <w:t>Permite corregir el sesgo en el nivel medio de probabilidad producido por el balanceo artificial del conjunto de entrenamiento sin deteriorar el ordenamiento relativo.</w:t>
      </w:r>
    </w:p>
    <w:p>
      <w:pPr>
        <w:pStyle w:val="Heading3"/>
        <w:spacing w:before="160" w:after="60"/>
      </w:pPr>
      <w:r>
        <w:rPr>
          <w:color w:val="000000"/>
        </w:rPr>
        <w:t>1.3 Desempeño Individual por Tipo de Combustible (Periodo de Prueba 2026)</w:t>
      </w:r>
    </w:p>
    <w:p>
      <w:pPr>
        <w:spacing w:before="60" w:after="80"/>
      </w:pPr>
      <w:r>
        <w:rPr>
          <w:b w:val="0"/>
          <w:i w:val="0"/>
          <w:color w:val="000000"/>
          <w:u w:val="none"/>
        </w:rPr>
        <w:t>Rendimiento desagregado por cada una de las 5 familias de combustibles sobre datos reales de 2026: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Combustible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Observaciones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Tasa Base Real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AUC XGBoost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AUC CatBoost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Precisión@100 Modelo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Precisión@100 Regla Heurística</w:t>
            </w:r>
          </w:p>
        </w:tc>
      </w:tr>
      <w:tr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Diesel B5 S-50 UV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919,114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40.43%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0.7393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0.7385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72.98%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72.57%</w:t>
            </w:r>
          </w:p>
        </w:tc>
      </w:tr>
      <w:tr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Gasolina / Gasohol Regular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967,786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37.54%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0.7157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0.7142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70.15%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67.91%</w:t>
            </w:r>
          </w:p>
        </w:tc>
      </w:tr>
      <w:tr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Gasolina / Gasohol Premium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755,889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37.58%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0.7116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0.7108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69.14%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68.03%</w:t>
            </w:r>
          </w:p>
        </w:tc>
      </w:tr>
      <w:tr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GLP Automotriz a Granel (GLP-G)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318,623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27.83%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0.7183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0.7169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54.31%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51.49%</w:t>
            </w:r>
          </w:p>
        </w:tc>
      </w:tr>
      <w:tr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GLP Envasado en Cilindro 10 kg (GLP-E)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541,949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8.93%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0.6536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0.6511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22.30%</w:t>
            </w:r>
          </w:p>
        </w:tc>
        <w:tc>
          <w:tcPr>
            <w:tcW w:type="dxa" w:w="1337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17.06%</w:t>
            </w:r>
          </w:p>
        </w:tc>
      </w:tr>
    </w:tbl>
    <w:p>
      <w:pPr/>
    </w:p>
    <w:p>
      <w:pPr>
        <w:pStyle w:val="Heading2"/>
        <w:spacing w:before="200" w:after="80"/>
      </w:pPr>
      <w:r>
        <w:rPr>
          <w:color w:val="000000"/>
        </w:rPr>
        <w:t>Sección 2: Modelos Individuales + Métricas de los Ensambles (Tabla Maestra)</w:t>
      </w:r>
    </w:p>
    <w:p>
      <w:pPr>
        <w:spacing w:before="60" w:after="80"/>
      </w:pPr>
      <w:r>
        <w:rPr>
          <w:b w:val="0"/>
          <w:i w:val="0"/>
          <w:color w:val="000000"/>
          <w:u w:val="none"/>
        </w:rPr>
        <w:t xml:space="preserve">En esta sección se integran los </w:t>
      </w:r>
      <w:r>
        <w:rPr>
          <w:b/>
          <w:i w:val="0"/>
          <w:color w:val="000000"/>
          <w:u w:val="none"/>
        </w:rPr>
        <w:t>8 modelos individuales</w:t>
      </w:r>
      <w:r>
        <w:rPr>
          <w:b w:val="0"/>
          <w:i w:val="0"/>
          <w:color w:val="000000"/>
          <w:u w:val="none"/>
        </w:rPr>
        <w:t xml:space="preserve"> junto a las </w:t>
      </w:r>
      <w:r>
        <w:rPr>
          <w:b/>
          <w:i w:val="0"/>
          <w:color w:val="000000"/>
          <w:u w:val="none"/>
        </w:rPr>
        <w:t>39 configuraciones de ensambles</w:t>
      </w:r>
      <w:r>
        <w:rPr>
          <w:b w:val="0"/>
          <w:i w:val="0"/>
          <w:color w:val="000000"/>
          <w:u w:val="none"/>
        </w:rPr>
        <w:t xml:space="preserve"> evaluadas bajo el mismo protocolo experimental de validación temporal en 12 bloques (2025).</w:t>
      </w:r>
    </w:p>
    <w:p>
      <w:pPr>
        <w:pStyle w:val="Heading3"/>
        <w:spacing w:before="160" w:after="60"/>
      </w:pPr>
      <w:r>
        <w:rPr>
          <w:color w:val="000000"/>
        </w:rPr>
        <w:t>2.1 La Gran Tabla Maestra Consolidada (47 Modelos)</w:t>
      </w:r>
    </w:p>
    <w:p>
      <w:pPr>
        <w:spacing w:before="60" w:after="80"/>
      </w:pPr>
      <w:r>
        <w:rPr>
          <w:b w:val="0"/>
          <w:i/>
          <w:color w:val="000000"/>
          <w:u w:val="none"/>
        </w:rPr>
        <w:t>Los valores destacados con &lt;u&gt;</w:t>
      </w:r>
      <w:r>
        <w:rPr>
          <w:b w:val="0"/>
          <w:i/>
          <w:color w:val="000000"/>
          <w:u w:val="none"/>
        </w:rPr>
        <w:t>negrita y subrayado</w:t>
      </w:r>
      <w:r>
        <w:rPr>
          <w:b w:val="0"/>
          <w:i/>
          <w:color w:val="000000"/>
          <w:u w:val="none"/>
        </w:rPr>
        <w:t>&lt;/u&gt; identifican el récord absoluto de toda la investigación para dicha métrica.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Familia Metodológica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Modelo / Estrategia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AUC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Precisión@50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Precisión@100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Precisión@250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Brier Score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¿Supera a Todos? (4 de 4)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Modelos Individuales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CatBoost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0.7328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69.04%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61.87%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52.55%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0.1039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—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Modelos Individuales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CatBoost (Calibrado)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0.7328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69.04%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61.88%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52.56%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0.1076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—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Modelos Individuales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LightGBM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0.7326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68.87%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61.54%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52.26%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0.1037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—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Modelos Individuales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LightGBM (Calibrado)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0.7326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68.79%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61.50%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52.26%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0.1070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—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Modelos Individuales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XGBoost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0.7333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69.08%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61.70%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52.45%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0.1040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—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Modelos Individuales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XGBoost (Calibrado)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0.7333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69.05%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61.73%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52.42%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0.1076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—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Modelos Individuales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Random Forest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0.7282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68.53%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61.00%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52.12%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0.1037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—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Modelos Individuales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Random Forest (Calibrado)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0.7282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68.52%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61.00%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52.11%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0.1059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—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Votación Directa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Votación Dura (Mayoría)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0.7354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69.84%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62.50%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53.02%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0.1722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Votación Directa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Votación Suave (Promedio Simple)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0.7355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69.84%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62.50%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53.01%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0.1034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4 de 4</w:t>
            </w:r>
            <w:r>
              <w:rPr>
                <w:b w:val="0"/>
                <w:i w:val="0"/>
                <w:color w:val="000000"/>
                <w:u w:val="none"/>
              </w:rPr>
              <w:t xml:space="preserve"> (Élite)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Votación Directa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Votación Ponderada (Pesos por AUC)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0.7355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69.85%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62.49%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53.00%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0.1034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4 de 4</w:t>
            </w:r>
            <w:r>
              <w:rPr>
                <w:b w:val="0"/>
                <w:i w:val="0"/>
                <w:color w:val="000000"/>
                <w:u w:val="none"/>
              </w:rPr>
              <w:t xml:space="preserve"> (Élite)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Votación Directa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Promedio de Rangos (Rank Averaging)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0.7309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69.79%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62.24%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52.90%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0.1048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2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Bagging / Submuestreo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Bagging de XGBoost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0.7346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69.33%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62.37%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52.85%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0.1038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Bagging / Submuestreo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EasyEnsemble (LightGBM)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0.7333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68.71%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61.43%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52.18%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0.1984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1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Boosting como Metamodelo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Boosting Metamodelo (LightGBM)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0.7322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68.20%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60.90%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51.62%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0.1041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Boosting como Metamodelo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AdaBoost Metamodelo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0.7273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67.98%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61.00%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52.05%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0.1220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Boosting como Metamodelo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Boosting LightGBM (Temporal)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0.7255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63.43%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59.11%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50.71%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0.1082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Boosting como Metamodelo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AdaBoost Metamodelo (Temporal)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0.7291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64.14%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59.04%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51.43%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0.1234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Stacking Lineal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Stacking Lineal Clásico (Logit)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0.7298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68.71%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60.95%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51.92%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0.1042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Stacking Lineal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Stacking con Regularización L1 (Lasso)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0.7300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68.79%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61.05%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51.93%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0.1042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Stacking Lineal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Stacking con Regularización L2 (Ridge)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0.7301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68.84%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61.00%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51.95%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0.1042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Stacking Lineal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Stacking ElasticNet (L1 + L2)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0.7300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68.77%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61.03%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51.93%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0.1042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Stacking Lineal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Stacking Clásico Temporal (1 mes)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0.7338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69.81%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61.98%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52.47%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0.1072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2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Stacking Lineal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Stacking L1 Temporal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0.7340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69.86%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62.06%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52.49%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0.1069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2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Stacking Lineal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Stacking L2 Temporal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0.7340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69.75%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62.09%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52.56%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0.1075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2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Stacking Lineal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Stacking ElasticNet Temporal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0.7341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69.74%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62.12%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52.53%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0.1071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2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Stacking Restringido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Stacking No Negativo (Pesos &gt;= 0)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0.7330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69.53%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61.93%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52.58%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0.1038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2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Stacking Restringido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Stacking No Negativo Temporal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0.7348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70.07%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62.27%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52.82%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0.1069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Stacking No Lineal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Stacking No Lineal con Random Forest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0.7292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68.30%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60.74%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51.53%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0.1045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Stacking No Lineal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Stacking Random Forest Temporal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0.7296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64.47%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59.59%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51.91%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0.1073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Blending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Blending (Holdout 20%)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0.7300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68.70%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60.95%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51.95%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0.1043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Selección Greedy (Caruana)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Selección de Ensambles (Caruana)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0.7333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69.63%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62.03%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52.60%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0.1034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4 de 4</w:t>
            </w:r>
            <w:r>
              <w:rPr>
                <w:b w:val="0"/>
                <w:i w:val="0"/>
                <w:color w:val="000000"/>
                <w:u w:val="none"/>
              </w:rPr>
              <w:t xml:space="preserve"> (Élite)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Selección Greedy (Caruana)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Selección Caruana (Calibrada)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0.7333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69.66%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62.04%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52.60%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0.1039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Selección Greedy (Caruana)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Selección Caruana Temporal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0.7348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69.97%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62.23%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52.78%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0.1035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4 de 4</w:t>
            </w:r>
            <w:r>
              <w:rPr>
                <w:b w:val="0"/>
                <w:i w:val="0"/>
                <w:color w:val="000000"/>
                <w:u w:val="none"/>
              </w:rPr>
              <w:t xml:space="preserve"> (Élite)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Selección Greedy (Caruana)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Selección Caruana Calibrada Temporal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0.7348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69.95%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62.24%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52.78%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0.1070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Selección Dinámica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Selección Dinámica por Grifo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0.7323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68.47%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61.16%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52.17%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0.1075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Selección Dinámica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Mezcla de Expertos (MoE)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0.7252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67.26%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59.60%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50.18%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0.1091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Inferencia Bayesiana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Promedio Bayesiano de Modelos (BMA)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0.7319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69.23%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61.50%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52.31%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0.1036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1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STJC (Aporte de Tesis)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STJC: Pieza 1 (+ Multiventana 3m)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0.7343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69.71%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61.93%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52.63%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0.1039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STJC (Aporte de Tesis)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STJC: Pieza 2 (+ Pesos Convexos)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0.7347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69.88%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62.03%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52.81%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0.1033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4 de 4</w:t>
            </w:r>
            <w:r>
              <w:rPr>
                <w:b w:val="0"/>
                <w:i w:val="0"/>
                <w:color w:val="000000"/>
                <w:u w:val="none"/>
              </w:rPr>
              <w:t xml:space="preserve"> (Élite)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STJC (Aporte de Tesis)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STJC: Pieza 3 (+ Contracción/Shrinkage)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0.7352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70.03%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62.46%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53.01%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0.1032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4 de 4</w:t>
            </w:r>
            <w:r>
              <w:rPr>
                <w:b w:val="0"/>
                <w:i w:val="0"/>
                <w:color w:val="000000"/>
                <w:u w:val="none"/>
              </w:rPr>
              <w:t xml:space="preserve"> (Élite)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STJC (Aporte de Tesis)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STJC: Pieza 4 (+ Jerarquía Combustible)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0.7352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70.03%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62.45%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53.00%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0.1032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4 de 4</w:t>
            </w:r>
            <w:r>
              <w:rPr>
                <w:b w:val="0"/>
                <w:i w:val="0"/>
                <w:color w:val="000000"/>
                <w:u w:val="none"/>
              </w:rPr>
              <w:t xml:space="preserve"> (Élite)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STJC (Aporte de Tesis)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STJC: Método Completo (+ Bagging Temporal)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0.7348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70.23%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62.51%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53.08%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0.1031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4 de 4</w:t>
            </w:r>
            <w:r>
              <w:rPr>
                <w:b w:val="0"/>
                <w:i w:val="0"/>
                <w:color w:val="000000"/>
                <w:u w:val="none"/>
              </w:rPr>
              <w:t xml:space="preserve"> (Élite)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STJC (Aporte de Tesis)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STJC + Calibración Posterior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0.7348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70.23%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62.50%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53.08%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0.1040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Votación con Calibración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Votación Suave (Calibrada)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0.7355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69.84%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62.46%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53.00%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0.1067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Votación con Calibración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Votación Ponderada (Calibrada)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0.7355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69.84%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62.45%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53.00%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0.1067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 de 4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Votación con Calibración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Votación Dura (Calibrada)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0.7354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69.02%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61.86%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52.83%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0.1067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2 de 4</w:t>
            </w:r>
          </w:p>
        </w:tc>
      </w:tr>
    </w:tbl>
    <w:p>
      <w:pPr/>
    </w:p>
    <w:p>
      <w:pPr>
        <w:pStyle w:val="Heading3"/>
        <w:spacing w:before="160" w:after="60"/>
      </w:pPr>
      <w:r>
        <w:rPr>
          <w:color w:val="000000"/>
        </w:rPr>
        <w:t>2.2 Cuadro de Honor: Los 8 Ensambles de Élite que Superaron a Todos los Individuales en las 4 Métricas (4 de 4)</w:t>
      </w:r>
    </w:p>
    <w:p>
      <w:pPr>
        <w:spacing w:before="60" w:after="80"/>
      </w:pPr>
      <w:r>
        <w:rPr>
          <w:b w:val="0"/>
          <w:i w:val="0"/>
          <w:color w:val="000000"/>
          <w:u w:val="none"/>
        </w:rPr>
        <w:t xml:space="preserve">De las 39 configuraciones de ensambles, solo </w:t>
      </w:r>
      <w:r>
        <w:rPr>
          <w:b/>
          <w:i w:val="0"/>
          <w:color w:val="000000"/>
          <w:u w:val="none"/>
        </w:rPr>
        <w:t>8 lograron superar simultáneamente al mejor modelo individual en las 4 métricas cardinales (AUC &gt; 0.7333, $p@100$ &gt; 61.87%, $p@250$ &gt; 52.55% y Brier &lt; 0.1037)</w:t>
      </w:r>
      <w:r>
        <w:rPr>
          <w:b w:val="0"/>
          <w:i w:val="0"/>
          <w:color w:val="000000"/>
          <w:u w:val="none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Familia Metodológica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Modelo / Estrategia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AUC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Precisión@50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Precisión@100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Precisión@250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Brier Score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¿Supera a Todos? (4 de 4)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Votación Directa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Votación Suave (Promedio Simple)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0.7355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69.84%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62.50%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53.01%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0.1034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4 de 4</w:t>
            </w:r>
            <w:r>
              <w:rPr>
                <w:b w:val="0"/>
                <w:i w:val="0"/>
                <w:color w:val="000000"/>
                <w:u w:val="none"/>
              </w:rPr>
              <w:t xml:space="preserve"> (Élite)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Votación Directa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Votación Ponderada (Pesos por AUC)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0.7355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69.85%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62.49%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53.00%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0.1034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4 de 4</w:t>
            </w:r>
            <w:r>
              <w:rPr>
                <w:b w:val="0"/>
                <w:i w:val="0"/>
                <w:color w:val="000000"/>
                <w:u w:val="none"/>
              </w:rPr>
              <w:t xml:space="preserve"> (Élite)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Selección Greedy (Caruana)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Selección de Ensambles (Caruana)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0.7333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69.63%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62.03%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52.60%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0.1034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4 de 4</w:t>
            </w:r>
            <w:r>
              <w:rPr>
                <w:b w:val="0"/>
                <w:i w:val="0"/>
                <w:color w:val="000000"/>
                <w:u w:val="none"/>
              </w:rPr>
              <w:t xml:space="preserve"> (Élite)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Selección Greedy (Caruana)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Selección Caruana Temporal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0.7348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69.97%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62.23%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52.78%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0.1035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4 de 4</w:t>
            </w:r>
            <w:r>
              <w:rPr>
                <w:b w:val="0"/>
                <w:i w:val="0"/>
                <w:color w:val="000000"/>
                <w:u w:val="none"/>
              </w:rPr>
              <w:t xml:space="preserve"> (Élite)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STJC (Aporte de Tesis)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STJC: Pieza 2 (+ Pesos Convexos)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0.7347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69.88%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62.03%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52.81%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0.1033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4 de 4</w:t>
            </w:r>
            <w:r>
              <w:rPr>
                <w:b w:val="0"/>
                <w:i w:val="0"/>
                <w:color w:val="000000"/>
                <w:u w:val="none"/>
              </w:rPr>
              <w:t xml:space="preserve"> (Élite)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STJC (Aporte de Tesis)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STJC: Pieza 3 (+ Contracción/Shrinkage)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0.7352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70.03%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62.46%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53.01%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0.1032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4 de 4</w:t>
            </w:r>
            <w:r>
              <w:rPr>
                <w:b w:val="0"/>
                <w:i w:val="0"/>
                <w:color w:val="000000"/>
                <w:u w:val="none"/>
              </w:rPr>
              <w:t xml:space="preserve"> (Élite)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STJC (Aporte de Tesis)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STJC: Pieza 4 (+ Jerarquía Combustible)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0.7352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70.03%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62.45%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53.00%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0.1032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4 de 4</w:t>
            </w:r>
            <w:r>
              <w:rPr>
                <w:b w:val="0"/>
                <w:i w:val="0"/>
                <w:color w:val="000000"/>
                <w:u w:val="none"/>
              </w:rPr>
              <w:t xml:space="preserve"> (Élite)</w:t>
            </w:r>
          </w:p>
        </w:tc>
      </w:tr>
      <w:tr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STJC (Aporte de Tesis)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STJC: Método Completo (+ Bagging Temporal)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0.7348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70.23%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62.51%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53.08%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0.1031</w:t>
            </w:r>
          </w:p>
        </w:tc>
        <w:tc>
          <w:tcPr>
            <w:tcW w:type="dxa" w:w="117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4 de 4</w:t>
            </w:r>
            <w:r>
              <w:rPr>
                <w:b w:val="0"/>
                <w:i w:val="0"/>
                <w:color w:val="000000"/>
                <w:u w:val="none"/>
              </w:rPr>
              <w:t xml:space="preserve"> (Élite)</w:t>
            </w:r>
          </w:p>
        </w:tc>
      </w:tr>
    </w:tbl>
    <w:p>
      <w:pPr/>
    </w:p>
    <w:p>
      <w:pPr>
        <w:pStyle w:val="Heading4"/>
        <w:spacing w:before="120" w:after="40"/>
      </w:pPr>
      <w:r>
        <w:rPr>
          <w:color w:val="000000"/>
        </w:rPr>
        <w:t>Los Dos Grandes Campeones de la Tesis:</w:t>
      </w:r>
    </w:p>
    <w:p>
      <w:pPr>
        <w:pStyle w:val="ListNumber"/>
        <w:spacing w:before="20" w:after="40"/>
      </w:pPr>
      <w:r>
        <w:rPr>
          <w:b/>
          <w:i w:val="0"/>
          <w:color w:val="000000"/>
          <w:u w:val="none"/>
        </w:rPr>
        <w:t>Votación Suave (*Soft Voting* / Stacking Promedio):</w:t>
      </w:r>
    </w:p>
    <w:p>
      <w:pPr>
        <w:spacing w:before="60" w:after="80"/>
      </w:pPr>
      <w:r>
        <w:rPr>
          <w:b w:val="0"/>
          <w:i/>
          <w:color w:val="000000"/>
          <w:u w:val="none"/>
        </w:rPr>
        <w:t xml:space="preserve"> </w:t>
      </w:r>
      <w:r>
        <w:rPr>
          <w:b w:val="0"/>
          <w:i/>
          <w:color w:val="000000"/>
          <w:u w:val="none"/>
        </w:rPr>
        <w:t>Récord Absoluto de AUC:</w:t>
      </w:r>
      <w:r>
        <w:rPr>
          <w:b w:val="0"/>
          <w:i/>
          <w:color w:val="000000"/>
          <w:u w:val="none"/>
        </w:rPr>
        <w:t xml:space="preserve"> &lt;u&gt;</w:t>
      </w:r>
      <w:r>
        <w:rPr>
          <w:b w:val="0"/>
          <w:i/>
          <w:color w:val="000000"/>
          <w:u w:val="none"/>
        </w:rPr>
        <w:t>0.7355</w:t>
      </w:r>
      <w:r>
        <w:rPr>
          <w:b w:val="0"/>
          <w:i w:val="0"/>
          <w:color w:val="000000"/>
          <w:u w:val="none"/>
        </w:rPr>
        <w:t>&lt;/u&gt;.</w:t>
      </w:r>
    </w:p>
    <w:p>
      <w:pPr>
        <w:spacing w:before="60" w:after="80"/>
      </w:pPr>
      <w:r>
        <w:rPr>
          <w:b w:val="0"/>
          <w:i w:val="0"/>
          <w:color w:val="000000"/>
          <w:u w:val="none"/>
        </w:rPr>
        <w:t xml:space="preserve"> Promedia de forma parsimoniosa las probabilidades de los 4 modelos base:</w:t>
      </w:r>
    </w:p>
    <w:p>
      <w:pPr>
        <w:spacing w:before="60" w:after="80"/>
      </w:pPr>
      <w:r>
        <w:rPr>
          <w:b w:val="0"/>
          <w:i w:val="0"/>
          <w:color w:val="000000"/>
          <w:u w:val="none"/>
        </w:rPr>
        <w:t>P_{\text{final}} = \frac{P_{\text{Cat}} + P_{\text{Lgb}} + P_{\text{Xgb}} + P_{\text{RF}}}{4}</w:t>
      </w:r>
    </w:p>
    <w:p>
      <w:pPr>
        <w:spacing w:before="60" w:after="80"/>
      </w:pPr>
      <w:r>
        <w:rPr>
          <w:b w:val="0"/>
          <w:i/>
          <w:color w:val="000000"/>
          <w:u w:val="none"/>
        </w:rPr>
        <w:t xml:space="preserve"> Por su estabilidad matemática, robustez frente al sobreajuste y rapidez operativa, fue el </w:t>
      </w:r>
      <w:r>
        <w:rPr>
          <w:b w:val="0"/>
          <w:i/>
          <w:color w:val="000000"/>
          <w:u w:val="none"/>
        </w:rPr>
        <w:t>algoritmo seleccionado para la prueba final de 2026 y entregado en producción</w:t>
      </w:r>
      <w:r>
        <w:rPr>
          <w:b w:val="0"/>
          <w:i w:val="0"/>
          <w:color w:val="000000"/>
          <w:u w:val="none"/>
        </w:rPr>
        <w:t>.</w:t>
      </w:r>
    </w:p>
    <w:p>
      <w:pPr>
        <w:pStyle w:val="ListNumber"/>
        <w:spacing w:before="20" w:after="40"/>
      </w:pPr>
      <w:r>
        <w:rPr>
          <w:b/>
          <w:i w:val="0"/>
          <w:color w:val="000000"/>
          <w:u w:val="none"/>
        </w:rPr>
        <w:t>STJC: Stacking Temporal Jerárquico con Contracción (Nuestra Propuesta Metodológica):</w:t>
      </w:r>
    </w:p>
    <w:p>
      <w:pPr>
        <w:spacing w:before="60" w:after="80"/>
      </w:pPr>
      <w:r>
        <w:rPr>
          <w:b w:val="0"/>
          <w:i/>
          <w:color w:val="000000"/>
          <w:u w:val="none"/>
        </w:rPr>
        <w:t xml:space="preserve"> </w:t>
      </w:r>
      <w:r>
        <w:rPr>
          <w:b w:val="0"/>
          <w:i/>
          <w:color w:val="000000"/>
          <w:u w:val="none"/>
        </w:rPr>
        <w:t>Récord Absoluto en el Top 100:</w:t>
      </w:r>
      <w:r>
        <w:rPr>
          <w:b w:val="0"/>
          <w:i/>
          <w:color w:val="000000"/>
          <w:u w:val="none"/>
        </w:rPr>
        <w:t xml:space="preserve"> &lt;u&gt;</w:t>
      </w:r>
      <w:r>
        <w:rPr>
          <w:b w:val="0"/>
          <w:i/>
          <w:color w:val="000000"/>
          <w:u w:val="none"/>
        </w:rPr>
        <w:t>62.51%</w:t>
      </w:r>
      <w:r>
        <w:rPr>
          <w:b w:val="0"/>
          <w:i w:val="0"/>
          <w:color w:val="000000"/>
          <w:u w:val="none"/>
        </w:rPr>
        <w:t>&lt;/u&gt; de precisión (</w:t>
      </w:r>
      <w:r>
        <w:rPr>
          <w:b w:val="0"/>
          <w:i w:val="0"/>
          <w:color w:val="000000"/>
          <w:u w:val="none"/>
        </w:rPr>
        <w:t>p@100</w:t>
      </w:r>
      <w:r>
        <w:rPr>
          <w:b w:val="0"/>
          <w:i w:val="0"/>
          <w:color w:val="000000"/>
          <w:u w:val="none"/>
        </w:rPr>
        <w:t>).</w:t>
      </w:r>
    </w:p>
    <w:p>
      <w:pPr>
        <w:spacing w:before="60" w:after="80"/>
      </w:pPr>
      <w:r>
        <w:rPr>
          <w:b w:val="0"/>
          <w:i/>
          <w:color w:val="000000"/>
          <w:u w:val="none"/>
        </w:rPr>
        <w:t xml:space="preserve"> </w:t>
      </w:r>
      <w:r>
        <w:rPr>
          <w:b w:val="0"/>
          <w:i/>
          <w:color w:val="000000"/>
          <w:u w:val="none"/>
        </w:rPr>
        <w:t>Récord Absoluto en el Top 50:</w:t>
      </w:r>
      <w:r>
        <w:rPr>
          <w:b w:val="0"/>
          <w:i/>
          <w:color w:val="000000"/>
          <w:u w:val="none"/>
        </w:rPr>
        <w:t xml:space="preserve"> &lt;u&gt;</w:t>
      </w:r>
      <w:r>
        <w:rPr>
          <w:b w:val="0"/>
          <w:i/>
          <w:color w:val="000000"/>
          <w:u w:val="none"/>
        </w:rPr>
        <w:t>70.23%</w:t>
      </w:r>
      <w:r>
        <w:rPr>
          <w:b w:val="0"/>
          <w:i w:val="0"/>
          <w:color w:val="000000"/>
          <w:u w:val="none"/>
        </w:rPr>
        <w:t>&lt;/u&gt; de precisión (</w:t>
      </w:r>
      <w:r>
        <w:rPr>
          <w:b w:val="0"/>
          <w:i w:val="0"/>
          <w:color w:val="000000"/>
          <w:u w:val="none"/>
        </w:rPr>
        <w:t>p@50</w:t>
      </w:r>
      <w:r>
        <w:rPr>
          <w:b w:val="0"/>
          <w:i w:val="0"/>
          <w:color w:val="000000"/>
          <w:u w:val="none"/>
        </w:rPr>
        <w:t>).</w:t>
      </w:r>
    </w:p>
    <w:p>
      <w:pPr>
        <w:spacing w:before="60" w:after="80"/>
      </w:pPr>
      <w:r>
        <w:rPr>
          <w:b w:val="0"/>
          <w:i/>
          <w:color w:val="000000"/>
          <w:u w:val="none"/>
        </w:rPr>
        <w:t xml:space="preserve"> </w:t>
      </w:r>
      <w:r>
        <w:rPr>
          <w:b w:val="0"/>
          <w:i/>
          <w:color w:val="000000"/>
          <w:u w:val="none"/>
        </w:rPr>
        <w:t>Récord Absoluto en el Top 250:</w:t>
      </w:r>
      <w:r>
        <w:rPr>
          <w:b w:val="0"/>
          <w:i/>
          <w:color w:val="000000"/>
          <w:u w:val="none"/>
        </w:rPr>
        <w:t xml:space="preserve"> &lt;u&gt;</w:t>
      </w:r>
      <w:r>
        <w:rPr>
          <w:b w:val="0"/>
          <w:i/>
          <w:color w:val="000000"/>
          <w:u w:val="none"/>
        </w:rPr>
        <w:t>53.08%</w:t>
      </w:r>
      <w:r>
        <w:rPr>
          <w:b w:val="0"/>
          <w:i w:val="0"/>
          <w:color w:val="000000"/>
          <w:u w:val="none"/>
        </w:rPr>
        <w:t>&lt;/u&gt; de precisión (</w:t>
      </w:r>
      <w:r>
        <w:rPr>
          <w:b w:val="0"/>
          <w:i w:val="0"/>
          <w:color w:val="000000"/>
          <w:u w:val="none"/>
        </w:rPr>
        <w:t>p@250</w:t>
      </w:r>
      <w:r>
        <w:rPr>
          <w:b w:val="0"/>
          <w:i w:val="0"/>
          <w:color w:val="000000"/>
          <w:u w:val="none"/>
        </w:rPr>
        <w:t>).</w:t>
      </w:r>
    </w:p>
    <w:p>
      <w:pPr>
        <w:spacing w:before="60" w:after="80"/>
      </w:pPr>
      <w:r>
        <w:rPr>
          <w:b w:val="0"/>
          <w:i/>
          <w:color w:val="000000"/>
          <w:u w:val="none"/>
        </w:rPr>
        <w:t xml:space="preserve"> </w:t>
      </w:r>
      <w:r>
        <w:rPr>
          <w:b w:val="0"/>
          <w:i/>
          <w:color w:val="000000"/>
          <w:u w:val="none"/>
        </w:rPr>
        <w:t>Mejor Calibración Probabilística:</w:t>
      </w:r>
      <w:r>
        <w:rPr>
          <w:b w:val="0"/>
          <w:i/>
          <w:color w:val="000000"/>
          <w:u w:val="none"/>
        </w:rPr>
        <w:t xml:space="preserve"> Brier Score de &lt;u&gt;</w:t>
      </w:r>
      <w:r>
        <w:rPr>
          <w:b w:val="0"/>
          <w:i/>
          <w:color w:val="000000"/>
          <w:u w:val="none"/>
        </w:rPr>
        <w:t>0.1031</w:t>
      </w:r>
      <w:r>
        <w:rPr>
          <w:b w:val="0"/>
          <w:i w:val="0"/>
          <w:color w:val="000000"/>
          <w:u w:val="none"/>
        </w:rPr>
        <w:t>&lt;/u&gt;.</w:t>
      </w:r>
    </w:p>
    <w:p>
      <w:pPr>
        <w:spacing w:before="60" w:after="80"/>
      </w:pPr>
      <w:r>
        <w:rPr>
          <w:b w:val="0"/>
          <w:i w:val="0"/>
          <w:color w:val="000000"/>
          <w:u w:val="none"/>
        </w:rPr>
        <w:t xml:space="preserve"> Es el aporte de diseño de la tesis que resuelve la multicolinealidad extrema de las probabilidades en series de tiempo mediante restricciones convexas y contracción hacia pesos iguales.</w:t>
      </w:r>
    </w:p>
    <w:p>
      <w:pPr>
        <w:pStyle w:val="Heading3"/>
        <w:spacing w:before="160" w:after="60"/>
      </w:pPr>
      <w:r>
        <w:rPr>
          <w:color w:val="000000"/>
        </w:rPr>
        <w:t>2.3 Desglose de Ablación Paso a Paso de STJC (Sección 14.11)</w:t>
      </w:r>
    </w:p>
    <w:p>
      <w:pPr>
        <w:spacing w:before="60" w:after="80"/>
      </w:pPr>
      <w:r>
        <w:rPr>
          <w:b w:val="0"/>
          <w:i w:val="0"/>
          <w:color w:val="000000"/>
          <w:u w:val="none"/>
        </w:rPr>
        <w:t>Esta tabla demuestra el aporte incremental de cada módulo arquitectónico de STJC: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Fase / Pieza Incorporada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AUC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Precisión@100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Precisión@250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Brier Score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\Delta</w:t>
            </w:r>
            <w:r>
              <w:rPr>
                <w:b/>
                <w:i w:val="0"/>
                <w:color w:val="000000"/>
                <w:u w:val="none"/>
              </w:rPr>
              <w:t xml:space="preserve"> AUC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\Delta</w:t>
            </w:r>
            <w:r>
              <w:rPr>
                <w:b/>
                <w:i w:val="0"/>
                <w:color w:val="000000"/>
                <w:u w:val="none"/>
              </w:rPr>
              <w:t xml:space="preserve"> </w:t>
            </w:r>
            <w:r>
              <w:rPr>
                <w:b/>
                <w:i w:val="0"/>
                <w:color w:val="000000"/>
                <w:u w:val="none"/>
              </w:rPr>
              <w:t>p@100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\Delta</w:t>
            </w:r>
            <w:r>
              <w:rPr>
                <w:b/>
                <w:i w:val="0"/>
                <w:color w:val="000000"/>
                <w:u w:val="none"/>
              </w:rPr>
              <w:t xml:space="preserve"> Brier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Aporte Metodológico Concreto</w:t>
            </w:r>
          </w:p>
        </w:tc>
      </w:tr>
      <w:tr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0. Stacking Clásico Temporal (1 mes)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0.7338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61.98%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52.47%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0.1072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—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—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—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Punto de partida lineal sin regularización</w:t>
            </w:r>
          </w:p>
        </w:tc>
      </w:tr>
      <w:tr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1. + Multiventana Temporal (3 meses)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0.7343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61.93%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52.63%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0.1039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+0.0005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-0.05%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-0.0033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Baja drásticamente el error de calibración (Brier)</w:t>
            </w:r>
          </w:p>
        </w:tc>
      </w:tr>
      <w:tr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2. + Pesos Convexos ($w_i \ge 0, \sum w = 1$)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0.7347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62.03%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52.81%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0.1033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+0.0004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+0.10%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-0.0005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Elimina coeficientes negativos inestables</w:t>
            </w:r>
          </w:p>
        </w:tc>
      </w:tr>
      <w:tr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3. + Contracción (*Shrinkage* a 0.25)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&lt;u&gt;0.7352&lt;/u&gt;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62.46%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53.01%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0.1032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+0.0005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+0.43%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-0.0001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Dispara la precisión del ranking Top 100</w:t>
            </w:r>
          </w:p>
        </w:tc>
      </w:tr>
      <w:tr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4. + Jerarquía por Combustible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&lt;u&gt;0.7352&lt;/u&gt;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62.45%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53.00%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0.1032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-0.0000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-0.01%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-0.0000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Permite especialización por combustible</w:t>
            </w:r>
          </w:p>
        </w:tc>
      </w:tr>
      <w:tr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5. + Bagging Temporal = STJC COMPLETO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0.7348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&lt;u&gt;62.51%&lt;/u&gt;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&lt;u&gt;53.08%&lt;/u&gt;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&lt;u&gt;0.1031&lt;/u&gt;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-0.0004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+0.06%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-0.0001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RÉCORD ABSOLUTO EN $p@100$ Y BRIER SCORE</w:t>
            </w:r>
          </w:p>
        </w:tc>
      </w:tr>
    </w:tbl>
    <w:p>
      <w:pPr/>
    </w:p>
    <w:p>
      <w:pPr>
        <w:pStyle w:val="Heading2"/>
        <w:spacing w:before="200" w:after="80"/>
      </w:pPr>
      <w:r>
        <w:rPr>
          <w:color w:val="000000"/>
        </w:rPr>
        <w:t>Sección 3: Auditoría Estadística y Validación Operativa en el Mundo Real (2026)</w:t>
      </w:r>
    </w:p>
    <w:p>
      <w:pPr>
        <w:pStyle w:val="Heading3"/>
        <w:spacing w:before="160" w:after="60"/>
      </w:pPr>
      <w:r>
        <w:rPr>
          <w:color w:val="000000"/>
        </w:rPr>
        <w:t>3.1 365 Pruebas Diarias de Wilcoxon Pareado con Corrección Holm-Bonferroni (2025)</w:t>
      </w:r>
    </w:p>
    <w:p>
      <w:pPr>
        <w:spacing w:before="60" w:after="80"/>
      </w:pPr>
      <w:r>
        <w:rPr>
          <w:b w:val="0"/>
          <w:i w:val="0"/>
          <w:color w:val="000000"/>
          <w:u w:val="none"/>
        </w:rPr>
        <w:t xml:space="preserve">Evaluación pareada día a día durante los </w:t>
      </w:r>
      <w:r>
        <w:rPr>
          <w:b/>
          <w:i w:val="0"/>
          <w:color w:val="000000"/>
          <w:u w:val="none"/>
        </w:rPr>
        <w:t>365 días del año 2025</w:t>
      </w:r>
      <w:r>
        <w:rPr>
          <w:b w:val="0"/>
          <w:i w:val="0"/>
          <w:color w:val="000000"/>
          <w:u w:val="none"/>
        </w:rPr>
        <w:t xml:space="preserve"> frente a cada uno de los 4 modelos individuales en las 4 métricas (</w:t>
      </w:r>
      <w:r>
        <w:rPr>
          <w:b w:val="0"/>
          <w:i w:val="0"/>
          <w:color w:val="000000"/>
          <w:u w:val="none"/>
        </w:rPr>
        <w:t>4 \times 4 = 16</w:t>
      </w:r>
      <w:r>
        <w:rPr>
          <w:b w:val="0"/>
          <w:i w:val="0"/>
          <w:color w:val="000000"/>
          <w:u w:val="none"/>
        </w:rPr>
        <w:t xml:space="preserve"> comparaciones):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Ensamble Evaluado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Métrica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Frente a Modelo Base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Días Evaluados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Ventaja Media Diaria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% Días que Gana el Ensamble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p</w:t>
            </w:r>
            <w:r>
              <w:rPr>
                <w:b/>
                <w:i w:val="0"/>
                <w:color w:val="000000"/>
                <w:u w:val="none"/>
              </w:rPr>
              <w:t>-valor Crudo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p</w:t>
            </w:r>
            <w:r>
              <w:rPr>
                <w:b/>
                <w:i w:val="0"/>
                <w:color w:val="000000"/>
                <w:u w:val="none"/>
              </w:rPr>
              <w:t>-valor Ajustado (Holm)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Significativo al 1% (</w:t>
            </w:r>
            <w:r>
              <w:rPr>
                <w:b/>
                <w:i w:val="0"/>
                <w:color w:val="000000"/>
                <w:u w:val="none"/>
              </w:rPr>
              <w:t>p &lt; 0.01</w:t>
            </w:r>
            <w:r>
              <w:rPr>
                <w:b/>
                <w:i w:val="0"/>
                <w:color w:val="000000"/>
                <w:u w:val="none"/>
              </w:rPr>
              <w:t>)</w:t>
            </w:r>
          </w:p>
        </w:tc>
      </w:tr>
      <w:tr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Votación Suave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AUC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CatBoost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365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+0.0028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81.37%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4.61 \times 10^{-31}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6.00 \times 10^{-30}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Sí (Altamente Significativo)</w:t>
            </w:r>
          </w:p>
        </w:tc>
      </w:tr>
      <w:tr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Votación Suave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AUC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LightGBM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365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+0.0030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87.12%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1.40 \times 10^{-48}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2.11 \times 10^{-47}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Sí (Altamente Significativo)</w:t>
            </w:r>
          </w:p>
        </w:tc>
      </w:tr>
      <w:tr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Votación Suave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AUC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XGBoost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365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+0.0023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78.36%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2.81 \times 10^{-33}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3.93 \times 10^{-32}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Sí (Altamente Significativo)</w:t>
            </w:r>
          </w:p>
        </w:tc>
      </w:tr>
      <w:tr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Votación Suave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AUC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Random Forest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365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+0.0064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93.15%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2.22 \times 10^{-55}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3.55 \times 10^{-54}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Sí (Altamente Significativo)</w:t>
            </w:r>
          </w:p>
        </w:tc>
      </w:tr>
      <w:tr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Votación Suave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p@100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CatBoost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365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+0.63%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50.14%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1.20 \times 10^{-3}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1.20 \times 10^{-3}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Sí ($p = 0.0012 &lt; 0.01$)</w:t>
            </w:r>
          </w:p>
        </w:tc>
      </w:tr>
      <w:tr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Votación Suave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p@100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LightGBM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365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+0.97%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57.26%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1.55 \times 10^{-7}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7.75 \times 10^{-7}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Sí (Altamente Significativo)</w:t>
            </w:r>
          </w:p>
        </w:tc>
      </w:tr>
      <w:tr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Votación Suave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p@100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XGBoost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365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+0.78%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53.97%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1.00 \times 10^{-5}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3.01 \times 10^{-5}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Sí (Altamente Significativo)</w:t>
            </w:r>
          </w:p>
        </w:tc>
      </w:tr>
      <w:tr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Votación Suave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p@100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Random Forest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365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+1.51%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56.71%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5.03 \times 10^{-9}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3.52 \times 10^{-8}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Sí (Altamente Significativo)</w:t>
            </w:r>
          </w:p>
        </w:tc>
      </w:tr>
      <w:tr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STJC (Nuestro Método)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AUC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CatBoost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365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+0.0023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72.33%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3.29 \times 10^{-23}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4.27 \times 10^{-22}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Sí (Altamente Significativo)</w:t>
            </w:r>
          </w:p>
        </w:tc>
      </w:tr>
      <w:tr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STJC (Nuestro Método)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AUC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LightGBM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365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+0.0025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77.81%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3.73 \times 10^{-31}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5.59 \times 10^{-30}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Sí (Altamente Significativo)</w:t>
            </w:r>
          </w:p>
        </w:tc>
      </w:tr>
      <w:tr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STJC (Nuestro Método)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AUC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XGBoost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365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+0.0018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69.04%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2.11 \times 10^{-16}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1.90 \times 10^{-15}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Sí (Altamente Significativo)</w:t>
            </w:r>
          </w:p>
        </w:tc>
      </w:tr>
      <w:tr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STJC (Nuestro Método)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AUC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Random Forest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365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+0.0059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87.95%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1.08 \times 10^{-49}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1.72 \times 10^{-48}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Sí (Altamente Significativo)</w:t>
            </w:r>
          </w:p>
        </w:tc>
      </w:tr>
      <w:tr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STJC (Nuestro Método)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p@100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CatBoost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365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+0.63%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52.88%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2.03 \times 10^{-4}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2.03 \times 10^{-4}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Sí ($p = 0.0002 &lt; 0.001$)</w:t>
            </w:r>
          </w:p>
        </w:tc>
      </w:tr>
      <w:tr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STJC (Nuestro Método)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p@100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LightGBM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365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+0.97%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56.99%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1.08 \times 10^{-7}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4.33 \times 10^{-7}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Sí (Altamente Significativo)</w:t>
            </w:r>
          </w:p>
        </w:tc>
      </w:tr>
      <w:tr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STJC (Nuestro Método)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p@100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XGBoost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365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+0.78%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54.52%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1.34 \times 10^{-5}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4.01 \times 10^{-5}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Sí (Altamente Significativo)</w:t>
            </w:r>
          </w:p>
        </w:tc>
      </w:tr>
      <w:tr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STJC (Nuestro Método)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p@100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Random Forest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365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+1.51%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59.18%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1.55 \times 10^{-9}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1.09 \times 10^{-8}</w:t>
            </w:r>
          </w:p>
        </w:tc>
        <w:tc>
          <w:tcPr>
            <w:tcW w:type="dxa" w:w="10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Sí (Altamente Significativo)</w:t>
            </w:r>
          </w:p>
        </w:tc>
      </w:tr>
    </w:tbl>
    <w:p>
      <w:pPr/>
    </w:p>
    <w:p>
      <w:pPr>
        <w:spacing w:before="60" w:after="60"/>
        <w:ind w:left="432"/>
      </w:pPr>
      <w:r>
        <w:rPr>
          <w:b w:val="0"/>
          <w:i/>
          <w:color w:val="000000"/>
          <w:u w:val="none"/>
        </w:rPr>
        <w:t xml:space="preserve">Tanto Votación Suave como STJC ganaron </w:t>
      </w:r>
      <w:r>
        <w:rPr>
          <w:b/>
          <w:i/>
          <w:color w:val="000000"/>
          <w:u w:val="none"/>
        </w:rPr>
        <w:t>16 de 16 comparaciones con significancia estadística formal ($p_{\text{holm}} &lt; 0.01$)</w:t>
      </w:r>
      <w:r>
        <w:rPr>
          <w:b w:val="0"/>
          <w:i/>
          <w:color w:val="000000"/>
          <w:u w:val="none"/>
        </w:rPr>
        <w:t>.</w:t>
      </w:r>
    </w:p>
    <w:p>
      <w:pPr>
        <w:pStyle w:val="Heading3"/>
        <w:spacing w:before="160" w:after="60"/>
      </w:pPr>
      <w:r>
        <w:rPr>
          <w:color w:val="000000"/>
        </w:rPr>
        <w:t>3.2 Desempeño en la Prueba Operativa del Mundo Real (262 Días de 2026)</w:t>
      </w:r>
    </w:p>
    <w:p>
      <w:pPr>
        <w:spacing w:before="60" w:after="80"/>
      </w:pPr>
      <w:r>
        <w:rPr>
          <w:b w:val="0"/>
          <w:i w:val="0"/>
          <w:color w:val="000000"/>
          <w:u w:val="none"/>
        </w:rPr>
        <w:t>Resultados sobre el año 2026 sellado fuera de muestra con el modelo en producción (</w:t>
      </w:r>
      <w:r>
        <w:rPr>
          <w:b/>
          <w:i w:val="0"/>
          <w:color w:val="000000"/>
          <w:u w:val="none"/>
        </w:rPr>
        <w:t>Votación Suave</w:t>
      </w:r>
      <w:r>
        <w:rPr>
          <w:b w:val="0"/>
          <w:i w:val="0"/>
          <w:color w:val="000000"/>
          <w:u w:val="none"/>
        </w:rPr>
        <w:t>, 1M filas, reentrenamiento trimestral):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Indicador Operativo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Valor Registrado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Significado para la Fiscalización de Osinergmin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Días Operativos Evaluados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262 días continuos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Cobertura integral de enero a septiembre de 2026.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Establecimientos Evaluados Diariamente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17,863 a 19,975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Promedio de 19,292 casos activos por día.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Total Visitas Simuladas en el Top 100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26,200 inspecciones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100 visitas programadas por el modelo cada día.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Total Visitas con Cambio Real Confirmado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&lt;u&gt;20,539 aciertos&lt;/u&gt;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78.39% de precisión real en campo</w:t>
            </w:r>
            <w:r>
              <w:rPr>
                <w:b w:val="0"/>
                <w:i w:val="0"/>
                <w:color w:val="000000"/>
                <w:u w:val="none"/>
              </w:rPr>
              <w:t>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Mes con Mayor Precisión (Julio 2026)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&lt;u&gt;93.00%&lt;/u&gt; en $p@100$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93 de cada 100 locales fiscalizados cambiaron de precio.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AUC Diario Medio del Modelo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&lt;u&gt;0.7459&lt;/u&gt;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Capacidad discriminante superior en todo el país.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AUC Diario de la Regla Heurística (`n_cambios_28`)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0.7044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La heurística de conteo se degrada en el ordenamiento global.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Días en que el Modelo Derrota a la Regla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&lt;u&gt;88.2% de los días&lt;/u&gt;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El modelo gana en 231 de los 262 días evaluados.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Prueba de Wilcoxon Pareada Día a Día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$p = 4.89 \times 10^{-35}$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Superioridad estadística aplastante del modelo sobre la regla.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Trazabilidad Física al SCOP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&lt;u&gt;100.0%&lt;/u&gt;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El 100% de los 20,539 aciertos fue verificado en el reporte oficial.</w:t>
            </w:r>
          </w:p>
        </w:tc>
      </w:tr>
    </w:tbl>
    <w:p>
      <w:pPr/>
    </w:p>
    <w:p>
      <w:pPr>
        <w:pStyle w:val="Heading3"/>
        <w:spacing w:before="160" w:after="60"/>
      </w:pPr>
      <w:r>
        <w:rPr>
          <w:color w:val="000000"/>
        </w:rPr>
        <w:t>3.3 Generalización en Establecimientos "Nunca Vistos" (Prueba Ciega)</w:t>
      </w:r>
    </w:p>
    <w:p>
      <w:pPr>
        <w:spacing w:before="60" w:after="80"/>
      </w:pPr>
      <w:r>
        <w:rPr>
          <w:b w:val="0"/>
          <w:i w:val="0"/>
          <w:color w:val="000000"/>
          <w:u w:val="none"/>
        </w:rPr>
        <w:t xml:space="preserve">Evaluación sobre el </w:t>
      </w:r>
      <w:r>
        <w:rPr>
          <w:b/>
          <w:i w:val="0"/>
          <w:color w:val="000000"/>
          <w:u w:val="none"/>
        </w:rPr>
        <w:t>30% de los establecimientos del país (7,431 locales)</w:t>
      </w:r>
      <w:r>
        <w:rPr>
          <w:b w:val="0"/>
          <w:i w:val="0"/>
          <w:color w:val="000000"/>
          <w:u w:val="none"/>
        </w:rPr>
        <w:t xml:space="preserve"> apartados al azar antes de iniciar el estudio que jamás participaron en ningún entrenamiento: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Subconjunto Evaluado en 2026</w:t>
            </w:r>
          </w:p>
        </w:tc>
        <w:tc>
          <w:tcPr>
            <w:tcW w:type="dxa" w:w="23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AUC Promedio (9 meses)</w:t>
            </w:r>
          </w:p>
        </w:tc>
        <w:tc>
          <w:tcPr>
            <w:tcW w:type="dxa" w:w="23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Precisión@100 Promedio</w:t>
            </w:r>
          </w:p>
        </w:tc>
        <w:tc>
          <w:tcPr>
            <w:tcW w:type="dxa" w:w="23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AUC en Mes Pico (Julio 2026)</w:t>
            </w:r>
          </w:p>
        </w:tc>
      </w:tr>
      <w:tr>
        <w:tc>
          <w:tcPr>
            <w:tcW w:type="dxa" w:w="23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Establecimientos Conocidos</w:t>
            </w:r>
          </w:p>
        </w:tc>
        <w:tc>
          <w:tcPr>
            <w:tcW w:type="dxa" w:w="23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0.7426</w:t>
            </w:r>
          </w:p>
        </w:tc>
        <w:tc>
          <w:tcPr>
            <w:tcW w:type="dxa" w:w="23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76.81%</w:t>
            </w:r>
          </w:p>
        </w:tc>
        <w:tc>
          <w:tcPr>
            <w:tcW w:type="dxa" w:w="23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0.8035</w:t>
            </w:r>
          </w:p>
        </w:tc>
      </w:tr>
      <w:tr>
        <w:tc>
          <w:tcPr>
            <w:tcW w:type="dxa" w:w="23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Establecimientos Nunca Vistos (Holdout Puro)</w:t>
            </w:r>
          </w:p>
        </w:tc>
        <w:tc>
          <w:tcPr>
            <w:tcW w:type="dxa" w:w="234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single"/>
              </w:rPr>
              <w:t>0.7439</w:t>
            </w:r>
          </w:p>
        </w:tc>
        <w:tc>
          <w:tcPr>
            <w:tcW w:type="dxa" w:w="23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74.35%</w:t>
            </w:r>
          </w:p>
        </w:tc>
        <w:tc>
          <w:tcPr>
            <w:tcW w:type="dxa" w:w="2340"/>
          </w:tcPr>
          <w:p>
            <w:pPr/>
            <w:r>
              <w:rPr>
                <w:color w:val="000000"/>
              </w:rPr>
            </w:r>
            <w:r>
              <w:rPr>
                <w:b w:val="0"/>
                <w:i w:val="0"/>
                <w:color w:val="000000"/>
                <w:u w:val="none"/>
              </w:rPr>
              <w:t>0.8017</w:t>
            </w:r>
          </w:p>
        </w:tc>
      </w:tr>
    </w:tbl>
    <w:p>
      <w:pPr/>
    </w:p>
    <w:p>
      <w:pPr>
        <w:spacing w:before="60" w:after="60"/>
        <w:ind w:left="432"/>
      </w:pPr>
      <w:r>
        <w:rPr>
          <w:b/>
          <w:i/>
          <w:color w:val="000000"/>
          <w:u w:val="none"/>
        </w:rPr>
        <w:t>Conclusión Científica:</w:t>
      </w:r>
      <w:r>
        <w:rPr>
          <w:b w:val="0"/>
          <w:i/>
          <w:color w:val="000000"/>
          <w:u w:val="none"/>
        </w:rPr>
        <w:t xml:space="preserve"> El modelo no memorizó nombres comerciales ni ubicaciones fijas; aprendió dinámicas estructurales de mercado que generalizan perfectamente a establecimientos desconocidos.</w:t>
      </w:r>
    </w:p>
    <w:p>
      <w:pPr>
        <w:pStyle w:val="Heading3"/>
        <w:spacing w:before="160" w:after="60"/>
      </w:pPr>
      <w:r>
        <w:rPr>
          <w:color w:val="000000"/>
        </w:rPr>
        <w:t>3.4 Robustez Frente a Horizontes de Supervisión (3, 5 y 7 Días)</w:t>
      </w:r>
    </w:p>
    <w:p>
      <w:pPr>
        <w:spacing w:before="60" w:after="80"/>
      </w:pPr>
      <w:r>
        <w:rPr>
          <w:b w:val="0"/>
          <w:i w:val="0"/>
          <w:color w:val="000000"/>
          <w:u w:val="none"/>
        </w:rPr>
        <w:t>Evaluación en la Sección 18.1 para verificar la flexibilidad logística del modelo: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Horizonte Evaluado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Ventaja Media de AUC vs. Regla 28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Meses en que Gana el Modelo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3 Días</w:t>
            </w:r>
            <w:r>
              <w:rPr>
                <w:b w:val="0"/>
                <w:i w:val="0"/>
                <w:color w:val="000000"/>
                <w:u w:val="none"/>
              </w:rPr>
              <w:t xml:space="preserve"> (Inspección Rápida)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+0.0671 de AUC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9 de 9 meses (100%)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5 Días</w:t>
            </w:r>
            <w:r>
              <w:rPr>
                <w:b w:val="0"/>
                <w:i w:val="0"/>
                <w:color w:val="000000"/>
                <w:u w:val="none"/>
              </w:rPr>
              <w:t xml:space="preserve"> (Semana Laboral Estándar)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+0.0494 de AUC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9 de 9 meses (100%)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7 Días</w:t>
            </w:r>
            <w:r>
              <w:rPr>
                <w:b w:val="0"/>
                <w:i w:val="0"/>
                <w:color w:val="000000"/>
                <w:u w:val="none"/>
              </w:rPr>
              <w:t xml:space="preserve"> (Ciclo Semanal Extendido)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+0.0435 de AUC</w:t>
            </w:r>
          </w:p>
        </w:tc>
        <w:tc>
          <w:tcPr>
            <w:tcW w:type="dxa" w:w="3120"/>
          </w:tcPr>
          <w:p>
            <w:pPr/>
            <w:r>
              <w:rPr>
                <w:color w:val="000000"/>
              </w:rPr>
            </w:r>
            <w:r>
              <w:rPr>
                <w:b/>
                <w:i w:val="0"/>
                <w:color w:val="000000"/>
                <w:u w:val="none"/>
              </w:rPr>
              <w:t>9 de 9 meses (100%)</w:t>
            </w:r>
          </w:p>
        </w:tc>
      </w:tr>
    </w:tbl>
    <w:p>
      <w:pPr/>
    </w:p>
    <w:p>
      <w:pPr>
        <w:spacing w:before="60" w:after="80"/>
      </w:pPr>
      <w:r>
        <w:rPr>
          <w:b w:val="0"/>
          <w:i/>
          <w:color w:val="000000"/>
          <w:u w:val="none"/>
        </w:rPr>
        <w:t>Compendio oficial generado y verificado a partir de los registros maestros de `salidas_v6/` de la tesis.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auto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auto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auto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auto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auto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auto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auto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auto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auto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auto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auto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auto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auto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auto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auto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auto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auto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auto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auto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auto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auto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auto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uto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uto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auto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uto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uto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auto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uto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uto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auto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uto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uto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auto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uto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uto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auto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uto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uto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auto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uto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uto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uto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uto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background1" w:themeFillShade="D8"/>
      </w:tcPr>
    </w:tblStylePr>
    <w:tblStylePr w:type="band1Horz">
      <w:tblPr/>
      <w:tcPr>
        <w:shd w:val="clear" w:color="auto" w:fill="auto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uto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uto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background1" w:themeFillShade="D8"/>
      </w:tcPr>
    </w:tblStylePr>
    <w:tblStylePr w:type="band1Horz">
      <w:tblPr/>
      <w:tcPr>
        <w:shd w:val="clear" w:color="auto" w:fill="auto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uto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uto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background1" w:themeFillShade="D8"/>
      </w:tcPr>
    </w:tblStylePr>
    <w:tblStylePr w:type="band1Horz">
      <w:tblPr/>
      <w:tcPr>
        <w:shd w:val="clear" w:color="auto" w:fill="auto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uto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uto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background1" w:themeFillShade="D8"/>
      </w:tcPr>
    </w:tblStylePr>
    <w:tblStylePr w:type="band1Horz">
      <w:tblPr/>
      <w:tcPr>
        <w:shd w:val="clear" w:color="auto" w:fill="auto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uto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uto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background1" w:themeFillShade="D8"/>
      </w:tcPr>
    </w:tblStylePr>
    <w:tblStylePr w:type="band1Horz">
      <w:tblPr/>
      <w:tcPr>
        <w:shd w:val="clear" w:color="auto" w:fill="auto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uto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uto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background1" w:themeFillShade="D8"/>
      </w:tcPr>
    </w:tblStylePr>
    <w:tblStylePr w:type="band1Horz">
      <w:tblPr/>
      <w:tcPr>
        <w:shd w:val="clear" w:color="auto" w:fill="auto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uto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uto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background1" w:themeFillShade="D8"/>
      </w:tcPr>
    </w:tblStylePr>
    <w:tblStylePr w:type="band1Horz">
      <w:tblPr/>
      <w:tcPr>
        <w:shd w:val="clear" w:color="auto" w:fill="auto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auto" w:themeFill="text1" w:themeFillTint="3F"/>
      </w:tcPr>
    </w:tblStylePr>
    <w:tblStylePr w:type="band1Horz">
      <w:tblPr/>
      <w:tcPr>
        <w:shd w:val="clear" w:color="auto" w:fill="auto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auto" w:themeFill="accent1" w:themeFillTint="3F"/>
      </w:tcPr>
    </w:tblStylePr>
    <w:tblStylePr w:type="band1Horz">
      <w:tblPr/>
      <w:tcPr>
        <w:shd w:val="clear" w:color="auto" w:fill="auto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auto" w:themeFill="accent2" w:themeFillTint="3F"/>
      </w:tcPr>
    </w:tblStylePr>
    <w:tblStylePr w:type="band1Horz">
      <w:tblPr/>
      <w:tcPr>
        <w:shd w:val="clear" w:color="auto" w:fill="auto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auto" w:themeFill="accent3" w:themeFillTint="3F"/>
      </w:tcPr>
    </w:tblStylePr>
    <w:tblStylePr w:type="band1Horz">
      <w:tblPr/>
      <w:tcPr>
        <w:shd w:val="clear" w:color="auto" w:fill="auto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auto" w:themeFill="accent4" w:themeFillTint="3F"/>
      </w:tcPr>
    </w:tblStylePr>
    <w:tblStylePr w:type="band1Horz">
      <w:tblPr/>
      <w:tcPr>
        <w:shd w:val="clear" w:color="auto" w:fill="auto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auto" w:themeFill="accent5" w:themeFillTint="3F"/>
      </w:tcPr>
    </w:tblStylePr>
    <w:tblStylePr w:type="band1Horz">
      <w:tblPr/>
      <w:tcPr>
        <w:shd w:val="clear" w:color="auto" w:fill="auto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auto" w:themeFill="accent6" w:themeFillTint="3F"/>
      </w:tcPr>
    </w:tblStylePr>
    <w:tblStylePr w:type="band1Horz">
      <w:tblPr/>
      <w:tcPr>
        <w:shd w:val="clear" w:color="auto" w:fill="auto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uto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uto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uto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uto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uto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uto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uto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uto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uto" w:themeFill="text1" w:themeFillTint="7F"/>
      </w:tcPr>
    </w:tblStylePr>
    <w:tblStylePr w:type="band1Horz">
      <w:tblPr/>
      <w:tcPr>
        <w:shd w:val="clear" w:color="auto" w:fill="auto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uto" w:themeFill="accent1" w:themeFillTint="7F"/>
      </w:tcPr>
    </w:tblStylePr>
    <w:tblStylePr w:type="band1Horz">
      <w:tblPr/>
      <w:tcPr>
        <w:shd w:val="clear" w:color="auto" w:fill="auto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uto" w:themeFill="accent2" w:themeFillTint="7F"/>
      </w:tcPr>
    </w:tblStylePr>
    <w:tblStylePr w:type="band1Horz">
      <w:tblPr/>
      <w:tcPr>
        <w:shd w:val="clear" w:color="auto" w:fill="auto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uto" w:themeFill="accent3" w:themeFillTint="7F"/>
      </w:tcPr>
    </w:tblStylePr>
    <w:tblStylePr w:type="band1Horz">
      <w:tblPr/>
      <w:tcPr>
        <w:shd w:val="clear" w:color="auto" w:fill="auto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uto" w:themeFill="accent4" w:themeFillTint="7F"/>
      </w:tcPr>
    </w:tblStylePr>
    <w:tblStylePr w:type="band1Horz">
      <w:tblPr/>
      <w:tcPr>
        <w:shd w:val="clear" w:color="auto" w:fill="auto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uto" w:themeFill="accent5" w:themeFillTint="7F"/>
      </w:tcPr>
    </w:tblStylePr>
    <w:tblStylePr w:type="band1Horz">
      <w:tblPr/>
      <w:tcPr>
        <w:shd w:val="clear" w:color="auto" w:fill="auto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uto" w:themeFill="accent6" w:themeFillTint="7F"/>
      </w:tcPr>
    </w:tblStylePr>
    <w:tblStylePr w:type="band1Horz">
      <w:tblPr/>
      <w:tcPr>
        <w:shd w:val="clear" w:color="auto" w:fill="auto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auto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text1" w:themeFillTint="33"/>
      </w:tcPr>
    </w:tblStylePr>
    <w:tblStylePr w:type="band1Vert">
      <w:tblPr/>
      <w:tcPr>
        <w:shd w:val="clear" w:color="auto" w:fill="auto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auto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auto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1" w:themeFillTint="33"/>
      </w:tcPr>
    </w:tblStylePr>
    <w:tblStylePr w:type="band1Vert">
      <w:tblPr/>
      <w:tcPr>
        <w:shd w:val="clear" w:color="auto" w:fill="auto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uto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auto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2" w:themeFillTint="33"/>
      </w:tcPr>
    </w:tblStylePr>
    <w:tblStylePr w:type="band1Vert">
      <w:tblPr/>
      <w:tcPr>
        <w:shd w:val="clear" w:color="auto" w:fill="auto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auto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auto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3" w:themeFillTint="33"/>
      </w:tcPr>
    </w:tblStylePr>
    <w:tblStylePr w:type="band1Vert">
      <w:tblPr/>
      <w:tcPr>
        <w:shd w:val="clear" w:color="auto" w:fill="auto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auto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auto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4" w:themeFillTint="33"/>
      </w:tcPr>
    </w:tblStylePr>
    <w:tblStylePr w:type="band1Vert">
      <w:tblPr/>
      <w:tcPr>
        <w:shd w:val="clear" w:color="auto" w:fill="auto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auto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auto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5" w:themeFillTint="33"/>
      </w:tcPr>
    </w:tblStylePr>
    <w:tblStylePr w:type="band1Vert">
      <w:tblPr/>
      <w:tcPr>
        <w:shd w:val="clear" w:color="auto" w:fill="auto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uto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auto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6" w:themeFillTint="33"/>
      </w:tcPr>
    </w:tblStylePr>
    <w:tblStylePr w:type="band1Vert">
      <w:tblPr/>
      <w:tcPr>
        <w:shd w:val="clear" w:color="auto" w:fill="auto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auto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tex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uto" w:themeFill="tex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uto" w:themeFill="tex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uto" w:themeFill="tex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uto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uto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uto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uto" w:themeFill="accen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uto" w:themeFill="accen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uto" w:themeFill="accen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uto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uto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uto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2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uto" w:themeFill="accent2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uto" w:themeFill="accent2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uto" w:themeFill="accent2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uto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uto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uto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3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uto" w:themeFill="accent3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uto" w:themeFill="accent3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uto" w:themeFill="accent3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uto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uto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uto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4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uto" w:themeFill="accent4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uto" w:themeFill="accent4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uto" w:themeFill="accent4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uto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uto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uto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5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uto" w:themeFill="accent5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uto" w:themeFill="accent5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uto" w:themeFill="accent5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uto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uto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uto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6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uto" w:themeFill="accent6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uto" w:themeFill="accent6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uto" w:themeFill="accent6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uto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uto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uto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auto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uto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uto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uto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auto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uto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uto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uto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auto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uto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uto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uto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auto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uto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uto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uto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auto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uto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uto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uto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auto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uto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uto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uto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auto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uto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uto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uto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auto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auto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text1" w:themeFillShade="BF"/>
      </w:tcPr>
    </w:tblStylePr>
    <w:tblStylePr w:type="band1Vert">
      <w:tblPr/>
      <w:tcPr>
        <w:shd w:val="clear" w:color="auto" w:fill="auto" w:themeFill="text1" w:themeFillTint="66"/>
      </w:tcPr>
    </w:tblStylePr>
    <w:tblStylePr w:type="band1Horz">
      <w:tblPr/>
      <w:tcPr>
        <w:shd w:val="clear" w:color="auto" w:fill="auto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auto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auto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1" w:themeFillShade="99"/>
      </w:tcPr>
    </w:tblStylePr>
    <w:tblStylePr w:type="band1Vert">
      <w:tblPr/>
      <w:tcPr>
        <w:shd w:val="clear" w:color="auto" w:fill="auto" w:themeFill="accent1" w:themeFillTint="66"/>
      </w:tcPr>
    </w:tblStylePr>
    <w:tblStylePr w:type="band1Horz">
      <w:tblPr/>
      <w:tcPr>
        <w:shd w:val="clear" w:color="auto" w:fill="auto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auto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auto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2" w:themeFillShade="99"/>
      </w:tcPr>
    </w:tblStylePr>
    <w:tblStylePr w:type="band1Vert">
      <w:tblPr/>
      <w:tcPr>
        <w:shd w:val="clear" w:color="auto" w:fill="auto" w:themeFill="accent2" w:themeFillTint="66"/>
      </w:tcPr>
    </w:tblStylePr>
    <w:tblStylePr w:type="band1Horz">
      <w:tblPr/>
      <w:tcPr>
        <w:shd w:val="clear" w:color="auto" w:fill="auto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auto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auto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3" w:themeFillShade="99"/>
      </w:tcPr>
    </w:tblStylePr>
    <w:tblStylePr w:type="band1Vert">
      <w:tblPr/>
      <w:tcPr>
        <w:shd w:val="clear" w:color="auto" w:fill="auto" w:themeFill="accent3" w:themeFillTint="66"/>
      </w:tcPr>
    </w:tblStylePr>
    <w:tblStylePr w:type="band1Horz">
      <w:tblPr/>
      <w:tcPr>
        <w:shd w:val="clear" w:color="auto" w:fill="auto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auto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auto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4" w:themeFillShade="99"/>
      </w:tcPr>
    </w:tblStylePr>
    <w:tblStylePr w:type="band1Vert">
      <w:tblPr/>
      <w:tcPr>
        <w:shd w:val="clear" w:color="auto" w:fill="auto" w:themeFill="accent4" w:themeFillTint="66"/>
      </w:tcPr>
    </w:tblStylePr>
    <w:tblStylePr w:type="band1Horz">
      <w:tblPr/>
      <w:tcPr>
        <w:shd w:val="clear" w:color="auto" w:fill="auto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auto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auto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5" w:themeFillShade="99"/>
      </w:tcPr>
    </w:tblStylePr>
    <w:tblStylePr w:type="band1Vert">
      <w:tblPr/>
      <w:tcPr>
        <w:shd w:val="clear" w:color="auto" w:fill="auto" w:themeFill="accent5" w:themeFillTint="66"/>
      </w:tcPr>
    </w:tblStylePr>
    <w:tblStylePr w:type="band1Horz">
      <w:tblPr/>
      <w:tcPr>
        <w:shd w:val="clear" w:color="auto" w:fill="auto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auto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auto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6" w:themeFillShade="99"/>
      </w:tcPr>
    </w:tblStylePr>
    <w:tblStylePr w:type="band1Vert">
      <w:tblPr/>
      <w:tcPr>
        <w:shd w:val="clear" w:color="auto" w:fill="auto" w:themeFill="accent6" w:themeFillTint="66"/>
      </w:tcPr>
    </w:tblStylePr>
    <w:tblStylePr w:type="band1Horz">
      <w:tblPr/>
      <w:tcPr>
        <w:shd w:val="clear" w:color="auto" w:fill="auto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auto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text1" w:themeFillTint="3F"/>
      </w:tcPr>
    </w:tblStylePr>
    <w:tblStylePr w:type="band1Horz">
      <w:tblPr/>
      <w:tcPr>
        <w:shd w:val="clear" w:color="auto" w:fill="auto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auto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1" w:themeFillTint="3F"/>
      </w:tcPr>
    </w:tblStylePr>
    <w:tblStylePr w:type="band1Horz">
      <w:tblPr/>
      <w:tcPr>
        <w:shd w:val="clear" w:color="auto" w:fill="auto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auto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2" w:themeFillTint="3F"/>
      </w:tcPr>
    </w:tblStylePr>
    <w:tblStylePr w:type="band1Horz">
      <w:tblPr/>
      <w:tcPr>
        <w:shd w:val="clear" w:color="auto" w:fill="auto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auto" w:themeFill="accent4" w:themeFillShade="CC"/>
      </w:tcPr>
    </w:tblStylePr>
    <w:tblStylePr w:type="lastRow">
      <w:rPr>
        <w:b/>
        <w:bCs/>
        <w:color w:val="0000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3" w:themeFillTint="3F"/>
      </w:tcPr>
    </w:tblStylePr>
    <w:tblStylePr w:type="band1Horz">
      <w:tblPr/>
      <w:tcPr>
        <w:shd w:val="clear" w:color="auto" w:fill="auto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auto" w:themeFill="accent3" w:themeFillShade="CC"/>
      </w:tcPr>
    </w:tblStylePr>
    <w:tblStylePr w:type="lastRow">
      <w:rPr>
        <w:b/>
        <w:bCs/>
        <w:color w:val="00000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4" w:themeFillTint="3F"/>
      </w:tcPr>
    </w:tblStylePr>
    <w:tblStylePr w:type="band1Horz">
      <w:tblPr/>
      <w:tcPr>
        <w:shd w:val="clear" w:color="auto" w:fill="auto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auto" w:themeFill="accent6" w:themeFillShade="CC"/>
      </w:tcPr>
    </w:tblStylePr>
    <w:tblStylePr w:type="lastRow">
      <w:rPr>
        <w:b/>
        <w:bCs/>
        <w:color w:val="00000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5" w:themeFillTint="3F"/>
      </w:tcPr>
    </w:tblStylePr>
    <w:tblStylePr w:type="band1Horz">
      <w:tblPr/>
      <w:tcPr>
        <w:shd w:val="clear" w:color="auto" w:fill="auto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auto" w:themeFill="accent5" w:themeFillShade="CC"/>
      </w:tcPr>
    </w:tblStylePr>
    <w:tblStylePr w:type="lastRow">
      <w:rPr>
        <w:b/>
        <w:bCs/>
        <w:color w:val="0000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 w:themeFill="accent6" w:themeFillTint="3F"/>
      </w:tcPr>
    </w:tblStylePr>
    <w:tblStylePr w:type="band1Horz">
      <w:tblPr/>
      <w:tcPr>
        <w:shd w:val="clear" w:color="auto" w:fill="auto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text1" w:themeFillTint="33"/>
    </w:tcPr>
    <w:tblStylePr w:type="firstRow">
      <w:rPr>
        <w:b/>
        <w:bCs/>
      </w:rPr>
      <w:tblPr/>
      <w:tcPr>
        <w:shd w:val="clear" w:color="auto" w:fill="auto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uto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auto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auto" w:themeFill="text1" w:themeFillShade="BF"/>
      </w:tcPr>
    </w:tblStylePr>
    <w:tblStylePr w:type="band1Vert">
      <w:tblPr/>
      <w:tcPr>
        <w:shd w:val="clear" w:color="auto" w:fill="auto" w:themeFill="text1" w:themeFillTint="7F"/>
      </w:tcPr>
    </w:tblStylePr>
    <w:tblStylePr w:type="band1Horz">
      <w:tblPr/>
      <w:tcPr>
        <w:shd w:val="clear" w:color="auto" w:fill="auto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1" w:themeFillTint="33"/>
    </w:tcPr>
    <w:tblStylePr w:type="firstRow">
      <w:rPr>
        <w:b/>
        <w:bCs/>
      </w:rPr>
      <w:tblPr/>
      <w:tcPr>
        <w:shd w:val="clear" w:color="auto" w:fill="auto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uto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auto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auto" w:themeFill="accent1" w:themeFillShade="BF"/>
      </w:tcPr>
    </w:tblStylePr>
    <w:tblStylePr w:type="band1Vert">
      <w:tblPr/>
      <w:tcPr>
        <w:shd w:val="clear" w:color="auto" w:fill="auto" w:themeFill="accent1" w:themeFillTint="7F"/>
      </w:tcPr>
    </w:tblStylePr>
    <w:tblStylePr w:type="band1Horz">
      <w:tblPr/>
      <w:tcPr>
        <w:shd w:val="clear" w:color="auto" w:fill="auto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2" w:themeFillTint="33"/>
    </w:tcPr>
    <w:tblStylePr w:type="firstRow">
      <w:rPr>
        <w:b/>
        <w:bCs/>
      </w:rPr>
      <w:tblPr/>
      <w:tcPr>
        <w:shd w:val="clear" w:color="auto" w:fill="auto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uto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auto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auto" w:themeFill="accent2" w:themeFillShade="BF"/>
      </w:tcPr>
    </w:tblStylePr>
    <w:tblStylePr w:type="band1Vert">
      <w:tblPr/>
      <w:tcPr>
        <w:shd w:val="clear" w:color="auto" w:fill="auto" w:themeFill="accent2" w:themeFillTint="7F"/>
      </w:tcPr>
    </w:tblStylePr>
    <w:tblStylePr w:type="band1Horz">
      <w:tblPr/>
      <w:tcPr>
        <w:shd w:val="clear" w:color="auto" w:fill="auto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3" w:themeFillTint="33"/>
    </w:tcPr>
    <w:tblStylePr w:type="firstRow">
      <w:rPr>
        <w:b/>
        <w:bCs/>
      </w:rPr>
      <w:tblPr/>
      <w:tcPr>
        <w:shd w:val="clear" w:color="auto" w:fill="auto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uto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auto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auto" w:themeFill="accent3" w:themeFillShade="BF"/>
      </w:tcPr>
    </w:tblStylePr>
    <w:tblStylePr w:type="band1Vert">
      <w:tblPr/>
      <w:tcPr>
        <w:shd w:val="clear" w:color="auto" w:fill="auto" w:themeFill="accent3" w:themeFillTint="7F"/>
      </w:tcPr>
    </w:tblStylePr>
    <w:tblStylePr w:type="band1Horz">
      <w:tblPr/>
      <w:tcPr>
        <w:shd w:val="clear" w:color="auto" w:fill="auto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4" w:themeFillTint="33"/>
    </w:tcPr>
    <w:tblStylePr w:type="firstRow">
      <w:rPr>
        <w:b/>
        <w:bCs/>
      </w:rPr>
      <w:tblPr/>
      <w:tcPr>
        <w:shd w:val="clear" w:color="auto" w:fill="auto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uto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auto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auto" w:themeFill="accent4" w:themeFillShade="BF"/>
      </w:tcPr>
    </w:tblStylePr>
    <w:tblStylePr w:type="band1Vert">
      <w:tblPr/>
      <w:tcPr>
        <w:shd w:val="clear" w:color="auto" w:fill="auto" w:themeFill="accent4" w:themeFillTint="7F"/>
      </w:tcPr>
    </w:tblStylePr>
    <w:tblStylePr w:type="band1Horz">
      <w:tblPr/>
      <w:tcPr>
        <w:shd w:val="clear" w:color="auto" w:fill="auto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5" w:themeFillTint="33"/>
    </w:tcPr>
    <w:tblStylePr w:type="firstRow">
      <w:rPr>
        <w:b/>
        <w:bCs/>
      </w:rPr>
      <w:tblPr/>
      <w:tcPr>
        <w:shd w:val="clear" w:color="auto" w:fill="auto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uto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auto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auto" w:themeFill="accent5" w:themeFillShade="BF"/>
      </w:tcPr>
    </w:tblStylePr>
    <w:tblStylePr w:type="band1Vert">
      <w:tblPr/>
      <w:tcPr>
        <w:shd w:val="clear" w:color="auto" w:fill="auto" w:themeFill="accent5" w:themeFillTint="7F"/>
      </w:tcPr>
    </w:tblStylePr>
    <w:tblStylePr w:type="band1Horz">
      <w:tblPr/>
      <w:tcPr>
        <w:shd w:val="clear" w:color="auto" w:fill="auto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 w:themeFill="accent6" w:themeFillTint="33"/>
    </w:tcPr>
    <w:tblStylePr w:type="firstRow">
      <w:rPr>
        <w:b/>
        <w:bCs/>
      </w:rPr>
      <w:tblPr/>
      <w:tcPr>
        <w:shd w:val="clear" w:color="auto" w:fill="auto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uto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auto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auto" w:themeFill="accent6" w:themeFillShade="BF"/>
      </w:tcPr>
    </w:tblStylePr>
    <w:tblStylePr w:type="band1Vert">
      <w:tblPr/>
      <w:tcPr>
        <w:shd w:val="clear" w:color="auto" w:fill="auto" w:themeFill="accent6" w:themeFillTint="7F"/>
      </w:tcPr>
    </w:tblStylePr>
    <w:tblStylePr w:type="band1Horz">
      <w:tblPr/>
      <w:tcPr>
        <w:shd w:val="clear" w:color="auto" w:fill="auto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