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t>Resultados Oficiales de Modelos Individuales y Ensambles</w:t>
      </w:r>
    </w:p>
    <w:p>
      <w:pPr>
        <w:spacing w:before="60" w:after="60"/>
        <w:ind w:left="432"/>
      </w:pPr>
      <w:r>
        <w:rPr>
          <w:b/>
          <w:i/>
          <w:color w:val="505050"/>
          <w:u w:val="none"/>
        </w:rPr>
        <w:t>Documento Maestro de Resultados Empíricos y Auditoría Experimental</w:t>
      </w:r>
    </w:p>
    <w:p>
      <w:pPr>
        <w:spacing w:before="60" w:after="60"/>
        <w:ind w:left="432"/>
      </w:pPr>
      <w:r>
        <w:rPr>
          <w:b w:val="0"/>
          <w:i/>
          <w:color w:val="505050"/>
          <w:u w:val="none"/>
        </w:rPr>
        <w:t>Caso de Estudio:</w:t>
      </w:r>
      <w:r>
        <w:rPr>
          <w:b w:val="0"/>
          <w:i/>
          <w:color w:val="505050"/>
          <w:u w:val="none"/>
        </w:rPr>
        <w:t xml:space="preserve"> Priorización Diaria de Supervisión del SCOP (Osinergmin, Perú)</w:t>
      </w:r>
    </w:p>
    <w:p>
      <w:pPr>
        <w:spacing w:before="60" w:after="60"/>
        <w:ind w:left="432"/>
      </w:pPr>
      <w:r>
        <w:rPr>
          <w:b w:val="0"/>
          <w:i/>
          <w:color w:val="505050"/>
          <w:u w:val="none"/>
        </w:rPr>
        <w:t>Esquema Experimental:</w:t>
      </w:r>
      <w:r>
        <w:rPr>
          <w:b w:val="0"/>
          <w:i/>
          <w:color w:val="505050"/>
          <w:u w:val="none"/>
        </w:rPr>
        <w:t xml:space="preserve"> Validación Temporal Walk-Forward en 12 Bloques Mensuales (2025) y Prueba Operativa Real (262 Días de 2026).</w:t>
      </w:r>
    </w:p>
    <w:p>
      <w:pPr>
        <w:spacing w:before="60" w:after="60"/>
        <w:ind w:left="432"/>
      </w:pPr>
      <w:r>
        <w:rPr>
          <w:b w:val="0"/>
          <w:i/>
          <w:color w:val="505050"/>
          <w:u w:val="none"/>
        </w:rPr>
        <w:t>Convención:</w:t>
      </w:r>
      <w:r>
        <w:rPr>
          <w:b w:val="0"/>
          <w:i/>
          <w:color w:val="505050"/>
          <w:u w:val="none"/>
        </w:rPr>
        <w:t xml:space="preserve"> Los valores destacados con </w:t>
      </w:r>
      <w:r>
        <w:rPr>
          <w:b/>
          <w:i/>
          <w:color w:val="505050"/>
          <w:u w:val="single"/>
        </w:rPr>
        <w:t>negrita y subrayado</w:t>
      </w:r>
      <w:r>
        <w:rPr>
          <w:b w:val="0"/>
          <w:i/>
          <w:color w:val="505050"/>
          <w:u w:val="none"/>
        </w:rPr>
        <w:t xml:space="preserve"> indican el </w:t>
      </w:r>
      <w:r>
        <w:rPr>
          <w:b/>
          <w:i/>
          <w:color w:val="505050"/>
          <w:u w:val="none"/>
        </w:rPr>
        <w:t>mejor valor de cada métrica</w:t>
      </w:r>
      <w:r>
        <w:rPr>
          <w:b w:val="0"/>
          <w:i/>
          <w:color w:val="505050"/>
          <w:u w:val="none"/>
        </w:rPr>
        <w:t xml:space="preserve"> dentro de su respectiva tabla comparativa.</w:t>
      </w:r>
    </w:p>
    <w:p>
      <w:pPr>
        <w:pStyle w:val="Heading2"/>
        <w:spacing w:before="200" w:after="80"/>
      </w:pPr>
      <w:r>
        <w:t>📌 Guía de Interpretación de Métricas</w:t>
      </w:r>
    </w:p>
    <w:p>
      <w:pPr>
        <w:spacing w:before="60" w:after="80"/>
      </w:pPr>
      <w:r>
        <w:rPr>
          <w:b w:val="0"/>
          <w:i w:val="0"/>
          <w:u w:val="none"/>
        </w:rPr>
        <w:t>Para una evaluación integral y rigurosa del rendimiento predictivo se reportan 7 métricas complementarias:</w:t>
      </w:r>
    </w:p>
    <w:p>
      <w:pPr>
        <w:pStyle w:val="ListNumber"/>
        <w:spacing w:before="20" w:after="40"/>
      </w:pPr>
      <w:r>
        <w:rPr>
          <w:b/>
          <w:i w:val="0"/>
          <w:u w:val="none"/>
        </w:rPr>
        <w:t>AUC (ROC-AUC)</w:t>
      </w:r>
      <w:r>
        <w:rPr>
          <w:b w:val="0"/>
          <w:i w:val="0"/>
          <w:u w:val="none"/>
        </w:rPr>
        <w:t xml:space="preserve"> (</w:t>
      </w:r>
      <w:r>
        <w:rPr>
          <w:b w:val="0"/>
          <w:i w:val="0"/>
          <w:u w:val="none"/>
        </w:rPr>
        <w:t>\uparrow</w:t>
      </w:r>
      <w:r>
        <w:rPr>
          <w:b w:val="0"/>
          <w:i w:val="0"/>
          <w:u w:val="none"/>
        </w:rPr>
        <w:t xml:space="preserve"> </w:t>
      </w:r>
      <w:r>
        <w:rPr>
          <w:b w:val="0"/>
          <w:i/>
          <w:u w:val="none"/>
        </w:rPr>
        <w:t>mayor es mejor</w:t>
      </w:r>
      <w:r>
        <w:rPr>
          <w:b w:val="0"/>
          <w:i w:val="0"/>
          <w:u w:val="none"/>
        </w:rPr>
        <w:t>):</w:t>
      </w:r>
    </w:p>
    <w:p>
      <w:pPr>
        <w:spacing w:before="60" w:after="80"/>
      </w:pPr>
      <w:r>
        <w:rPr>
          <w:b w:val="0"/>
          <w:i w:val="0"/>
          <w:u w:val="none"/>
        </w:rPr>
        <w:t>Capacidad global del modelo para ordenar y discriminar entre establecimientos que cambiarán y no cambiarán de precio a través de todos los umbrales posibles (0.50 = azar puro, 1.00 = separación perfecta).</w:t>
      </w:r>
    </w:p>
    <w:p>
      <w:pPr>
        <w:pStyle w:val="ListNumber"/>
        <w:spacing w:before="20" w:after="40"/>
      </w:pPr>
      <w:r>
        <w:rPr>
          <w:b/>
          <w:i w:val="0"/>
          <w:u w:val="none"/>
        </w:rPr>
        <w:t>Precisión en el Top $K$ ($p@50$, $p@100$, $p@250$)</w:t>
      </w:r>
      <w:r>
        <w:rPr>
          <w:b w:val="0"/>
          <w:i w:val="0"/>
          <w:u w:val="none"/>
        </w:rPr>
        <w:t xml:space="preserve"> (</w:t>
      </w:r>
      <w:r>
        <w:rPr>
          <w:b w:val="0"/>
          <w:i w:val="0"/>
          <w:u w:val="none"/>
        </w:rPr>
        <w:t>\uparrow</w:t>
      </w:r>
      <w:r>
        <w:rPr>
          <w:b w:val="0"/>
          <w:i w:val="0"/>
          <w:u w:val="none"/>
        </w:rPr>
        <w:t xml:space="preserve"> </w:t>
      </w:r>
      <w:r>
        <w:rPr>
          <w:b w:val="0"/>
          <w:i/>
          <w:u w:val="none"/>
        </w:rPr>
        <w:t>mayor es mejor</w:t>
      </w:r>
      <w:r>
        <w:rPr>
          <w:b w:val="0"/>
          <w:i w:val="0"/>
          <w:u w:val="none"/>
        </w:rPr>
        <w:t>):</w:t>
      </w:r>
    </w:p>
    <w:p>
      <w:pPr>
        <w:spacing w:before="60" w:after="80"/>
      </w:pPr>
      <w:r>
        <w:rPr>
          <w:b w:val="0"/>
          <w:i w:val="0"/>
          <w:u w:val="none"/>
        </w:rPr>
        <w:t xml:space="preserve">Porcentaje de establecimientos que </w:t>
      </w:r>
      <w:r>
        <w:rPr>
          <w:b/>
          <w:i w:val="0"/>
          <w:u w:val="none"/>
        </w:rPr>
        <w:t>efectivamente modificaron su precio en los 5 días posteriores a la visita</w:t>
      </w:r>
      <w:r>
        <w:rPr>
          <w:b w:val="0"/>
          <w:i w:val="0"/>
          <w:u w:val="none"/>
        </w:rPr>
        <w:t xml:space="preserve"> entre los primeros </w:t>
      </w:r>
      <w:r>
        <w:rPr>
          <w:b w:val="0"/>
          <w:i w:val="0"/>
          <w:u w:val="none"/>
        </w:rPr>
        <w:t>K</w:t>
      </w:r>
      <w:r>
        <w:rPr>
          <w:b w:val="0"/>
          <w:i w:val="0"/>
          <w:u w:val="none"/>
        </w:rPr>
        <w:t xml:space="preserve"> casos con mayor probabilidad asignada cada medianoche. Es la métrica directa de eficiencia de las cuadrillas de fiscalización en campo.</w:t>
      </w:r>
    </w:p>
    <w:p>
      <w:pPr>
        <w:pStyle w:val="ListNumber"/>
        <w:spacing w:before="20" w:after="40"/>
      </w:pPr>
      <w:r>
        <w:rPr>
          <w:b/>
          <w:i w:val="0"/>
          <w:u w:val="none"/>
        </w:rPr>
        <w:t>Brier Score</w:t>
      </w:r>
      <w:r>
        <w:rPr>
          <w:b w:val="0"/>
          <w:i w:val="0"/>
          <w:u w:val="none"/>
        </w:rPr>
        <w:t xml:space="preserve"> (</w:t>
      </w:r>
      <w:r>
        <w:rPr>
          <w:b w:val="0"/>
          <w:i w:val="0"/>
          <w:u w:val="none"/>
        </w:rPr>
        <w:t>\downarrow</w:t>
      </w:r>
      <w:r>
        <w:rPr>
          <w:b w:val="0"/>
          <w:i w:val="0"/>
          <w:u w:val="none"/>
        </w:rPr>
        <w:t xml:space="preserve"> </w:t>
      </w:r>
      <w:r>
        <w:rPr>
          <w:b/>
          <w:i w:val="0"/>
          <w:u w:val="none"/>
        </w:rPr>
        <w:t>&lt;u&gt;menor es mejor&lt;/u&gt;</w:t>
      </w:r>
      <w:r>
        <w:rPr>
          <w:b w:val="0"/>
          <w:i w:val="0"/>
          <w:u w:val="none"/>
        </w:rPr>
        <w:t>):</w:t>
      </w:r>
    </w:p>
    <w:p>
      <w:pPr>
        <w:spacing w:before="60" w:after="80"/>
      </w:pPr>
      <w:r>
        <w:rPr>
          <w:b w:val="0"/>
          <w:i w:val="0"/>
          <w:u w:val="none"/>
        </w:rPr>
        <w:t xml:space="preserve">Error cuadrático medio de calibración probabilística: </w:t>
      </w:r>
      <w:r>
        <w:rPr>
          <w:b w:val="0"/>
          <w:i w:val="0"/>
          <w:u w:val="none"/>
        </w:rPr>
        <w:t>\text{Brier} = \frac{1}{N} \sum_{i=1}^N (P_i - y_i)^2</w:t>
      </w:r>
      <w:r>
        <w:rPr>
          <w:b w:val="0"/>
          <w:i w:val="0"/>
          <w:u w:val="none"/>
        </w:rPr>
        <w:t>. Un valor menor indica que las probabilidades asignadas por el modelo reflejan con mayor fidelidad la frecuencia real de los eventos en el mercado.</w:t>
      </w:r>
    </w:p>
    <w:p>
      <w:pPr>
        <w:pStyle w:val="ListNumber"/>
        <w:spacing w:before="20" w:after="40"/>
      </w:pPr>
      <w:r>
        <w:rPr>
          <w:b/>
          <w:i w:val="0"/>
          <w:u w:val="none"/>
        </w:rPr>
        <w:t>Accuracy (Exactitud con Umbral 0.50)</w:t>
      </w:r>
      <w:r>
        <w:rPr>
          <w:b w:val="0"/>
          <w:i w:val="0"/>
          <w:u w:val="none"/>
        </w:rPr>
        <w:t xml:space="preserve"> (</w:t>
      </w:r>
      <w:r>
        <w:rPr>
          <w:b w:val="0"/>
          <w:i w:val="0"/>
          <w:u w:val="none"/>
        </w:rPr>
        <w:t>\uparrow</w:t>
      </w:r>
      <w:r>
        <w:rPr>
          <w:b w:val="0"/>
          <w:i w:val="0"/>
          <w:u w:val="none"/>
        </w:rPr>
        <w:t xml:space="preserve"> </w:t>
      </w:r>
      <w:r>
        <w:rPr>
          <w:b w:val="0"/>
          <w:i/>
          <w:u w:val="none"/>
        </w:rPr>
        <w:t>mayor es mejor</w:t>
      </w:r>
      <w:r>
        <w:rPr>
          <w:b w:val="0"/>
          <w:i w:val="0"/>
          <w:u w:val="none"/>
        </w:rPr>
        <w:t>):</w:t>
      </w:r>
    </w:p>
    <w:p>
      <w:pPr>
        <w:spacing w:before="60" w:after="80"/>
      </w:pPr>
      <w:r>
        <w:rPr>
          <w:b w:val="0"/>
          <w:i w:val="0"/>
          <w:u w:val="none"/>
        </w:rPr>
        <w:t>Proporción global de clasificaciones correctas (positivas y negativas) con el umbral binario convencional de 0.50.</w:t>
      </w:r>
    </w:p>
    <w:p>
      <w:pPr>
        <w:pStyle w:val="ListNumber"/>
        <w:spacing w:before="20" w:after="40"/>
      </w:pPr>
      <w:r>
        <w:rPr>
          <w:b/>
          <w:i w:val="0"/>
          <w:u w:val="none"/>
        </w:rPr>
        <w:t>F1-Score (con Umbral 0.50)</w:t>
      </w:r>
      <w:r>
        <w:rPr>
          <w:b w:val="0"/>
          <w:i w:val="0"/>
          <w:u w:val="none"/>
        </w:rPr>
        <w:t xml:space="preserve"> (</w:t>
      </w:r>
      <w:r>
        <w:rPr>
          <w:b w:val="0"/>
          <w:i w:val="0"/>
          <w:u w:val="none"/>
        </w:rPr>
        <w:t>\uparrow</w:t>
      </w:r>
      <w:r>
        <w:rPr>
          <w:b w:val="0"/>
          <w:i w:val="0"/>
          <w:u w:val="none"/>
        </w:rPr>
        <w:t xml:space="preserve"> </w:t>
      </w:r>
      <w:r>
        <w:rPr>
          <w:b w:val="0"/>
          <w:i/>
          <w:u w:val="none"/>
        </w:rPr>
        <w:t>mayor es mejor</w:t>
      </w:r>
      <w:r>
        <w:rPr>
          <w:b w:val="0"/>
          <w:i w:val="0"/>
          <w:u w:val="none"/>
        </w:rPr>
        <w:t>):</w:t>
      </w:r>
    </w:p>
    <w:p>
      <w:pPr>
        <w:spacing w:before="60" w:after="80"/>
      </w:pPr>
      <w:r>
        <w:rPr>
          <w:b w:val="0"/>
          <w:i w:val="0"/>
          <w:u w:val="none"/>
        </w:rPr>
        <w:t xml:space="preserve">Media armónica entre precisión y recall bajo el umbral de corte de 0.50: </w:t>
      </w:r>
      <w:r>
        <w:rPr>
          <w:b w:val="0"/>
          <w:i w:val="0"/>
          <w:u w:val="none"/>
        </w:rPr>
        <w:t>F_1 = 2 \cdot \frac{\text{Precisión} \cdot \text{Recall}}{\text{Precisión} + \text{Recall}}</w:t>
      </w:r>
      <w:r>
        <w:rPr>
          <w:b w:val="0"/>
          <w:i w:val="0"/>
          <w:u w:val="none"/>
        </w:rPr>
        <w:t>.</w:t>
      </w:r>
    </w:p>
    <w:p>
      <w:pPr>
        <w:pStyle w:val="ListNumber"/>
        <w:spacing w:before="20" w:after="40"/>
      </w:pPr>
      <w:r>
        <w:rPr>
          <w:b/>
          <w:i w:val="0"/>
          <w:u w:val="none"/>
        </w:rPr>
        <w:t>Criterio Multicriterio ("Supera a Todos los Individuales")</w:t>
      </w:r>
      <w:r>
        <w:rPr>
          <w:b w:val="0"/>
          <w:i w:val="0"/>
          <w:u w:val="none"/>
        </w:rPr>
        <w:t>:</w:t>
      </w:r>
    </w:p>
    <w:p>
      <w:pPr>
        <w:spacing w:before="60" w:after="80"/>
      </w:pPr>
      <w:r>
        <w:rPr>
          <w:b w:val="0"/>
          <w:i w:val="0"/>
          <w:u w:val="none"/>
        </w:rPr>
        <w:t>Exigencia metodológica para que un ensamble sea considerado viable: requiere superar simultáneamente al mejor modelo individual en las 4 métricas cardinales (</w:t>
      </w:r>
      <w:r>
        <w:rPr>
          <w:b/>
          <w:i w:val="0"/>
          <w:u w:val="none"/>
        </w:rPr>
        <w:t>AUC, $p@100$, $p@250$ y Brier Score</w:t>
      </w:r>
      <w:r>
        <w:rPr>
          <w:b w:val="0"/>
          <w:i w:val="0"/>
          <w:u w:val="none"/>
        </w:rPr>
        <w:t>).</w:t>
      </w:r>
    </w:p>
    <w:p>
      <w:pPr>
        <w:pStyle w:val="Heading2"/>
        <w:spacing w:before="200" w:after="80"/>
      </w:pPr>
      <w:r>
        <w:t>🔬 Sección 1: Resultados de los Modelos Individuales</w:t>
      </w:r>
    </w:p>
    <w:p>
      <w:pPr>
        <w:spacing w:before="60" w:after="80"/>
      </w:pPr>
      <w:r>
        <w:rPr>
          <w:b w:val="0"/>
          <w:i w:val="0"/>
          <w:u w:val="none"/>
        </w:rPr>
        <w:t>En esta sección se reportan los resultados de los cuatro modelos de aprendizaje automático base entrenados de forma individual sobre el vector completo de 29 variables predictivas.</w:t>
      </w:r>
    </w:p>
    <w:p>
      <w:pPr>
        <w:pStyle w:val="Heading3"/>
        <w:spacing w:before="160" w:after="60"/>
      </w:pPr>
      <w:r>
        <w:t>1.1 Tabla Comparativa de los 4 Modelos Base Principales</w:t>
      </w:r>
    </w:p>
    <w:p>
      <w:pPr>
        <w:spacing w:before="60" w:after="80"/>
      </w:pPr>
      <w:r>
        <w:rPr>
          <w:b w:val="0"/>
          <w:i w:val="0"/>
          <w:u w:val="none"/>
        </w:rPr>
        <w:t>Promedios consolidados a lo largo de los 12 bloques mensuales de validación temporal (2025):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Modelo / Estrategia</w:t>
            </w:r>
          </w:p>
        </w:tc>
        <w:tc>
          <w:tcPr>
            <w:tcW w:type="dxa" w:w="117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AUC</w:t>
            </w:r>
          </w:p>
        </w:tc>
        <w:tc>
          <w:tcPr>
            <w:tcW w:type="dxa" w:w="117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Precisión@50</w:t>
            </w:r>
          </w:p>
        </w:tc>
        <w:tc>
          <w:tcPr>
            <w:tcW w:type="dxa" w:w="117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Precisión@100</w:t>
            </w:r>
          </w:p>
        </w:tc>
        <w:tc>
          <w:tcPr>
            <w:tcW w:type="dxa" w:w="117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Precisión@250</w:t>
            </w:r>
          </w:p>
        </w:tc>
        <w:tc>
          <w:tcPr>
            <w:tcW w:type="dxa" w:w="117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Brier Score</w:t>
            </w:r>
          </w:p>
        </w:tc>
        <w:tc>
          <w:tcPr>
            <w:tcW w:type="dxa" w:w="117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Accuracy (0.5)</w:t>
            </w:r>
          </w:p>
        </w:tc>
        <w:tc>
          <w:tcPr>
            <w:tcW w:type="dxa" w:w="117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F1-Score (0.5)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CatBoost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0.7328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69.04%</w:t>
            </w:r>
          </w:p>
        </w:tc>
        <w:tc>
          <w:tcPr>
            <w:tcW w:type="dxa" w:w="1170"/>
          </w:tcPr>
          <w:p>
            <w:r/>
            <w:r>
              <w:rPr>
                <w:b/>
                <w:i w:val="0"/>
                <w:u w:val="single"/>
              </w:rPr>
              <w:t>61.87%</w:t>
            </w:r>
          </w:p>
        </w:tc>
        <w:tc>
          <w:tcPr>
            <w:tcW w:type="dxa" w:w="1170"/>
          </w:tcPr>
          <w:p>
            <w:r/>
            <w:r>
              <w:rPr>
                <w:b/>
                <w:i w:val="0"/>
                <w:u w:val="single"/>
              </w:rPr>
              <w:t>52.55%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0.1039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86.88%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0.1184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LightGBM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0.7326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68.87%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61.54%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52.26%</w:t>
            </w:r>
          </w:p>
        </w:tc>
        <w:tc>
          <w:tcPr>
            <w:tcW w:type="dxa" w:w="1170"/>
          </w:tcPr>
          <w:p>
            <w:r/>
            <w:r>
              <w:rPr>
                <w:b/>
                <w:i w:val="0"/>
                <w:u w:val="single"/>
              </w:rPr>
              <w:t>0.1037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86.94%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0.1035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XGBoost</w:t>
            </w:r>
          </w:p>
        </w:tc>
        <w:tc>
          <w:tcPr>
            <w:tcW w:type="dxa" w:w="1170"/>
          </w:tcPr>
          <w:p>
            <w:r/>
            <w:r>
              <w:rPr>
                <w:b/>
                <w:i w:val="0"/>
                <w:u w:val="single"/>
              </w:rPr>
              <w:t>0.7333</w:t>
            </w:r>
          </w:p>
        </w:tc>
        <w:tc>
          <w:tcPr>
            <w:tcW w:type="dxa" w:w="1170"/>
          </w:tcPr>
          <w:p>
            <w:r/>
            <w:r>
              <w:rPr>
                <w:b/>
                <w:i w:val="0"/>
                <w:u w:val="single"/>
              </w:rPr>
              <w:t>69.08%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61.70%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52.45%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0.1040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86.89%</w:t>
            </w:r>
          </w:p>
        </w:tc>
        <w:tc>
          <w:tcPr>
            <w:tcW w:type="dxa" w:w="1170"/>
          </w:tcPr>
          <w:p>
            <w:r/>
            <w:r>
              <w:rPr>
                <w:b/>
                <w:i w:val="0"/>
                <w:u w:val="single"/>
              </w:rPr>
              <w:t>0.1241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Random Forest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0.7282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68.53%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61.00%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52.12%</w:t>
            </w:r>
          </w:p>
        </w:tc>
        <w:tc>
          <w:tcPr>
            <w:tcW w:type="dxa" w:w="1170"/>
          </w:tcPr>
          <w:p>
            <w:r/>
            <w:r>
              <w:rPr>
                <w:b/>
                <w:i w:val="0"/>
                <w:u w:val="single"/>
              </w:rPr>
              <w:t>0.1037</w:t>
            </w:r>
          </w:p>
        </w:tc>
        <w:tc>
          <w:tcPr>
            <w:tcW w:type="dxa" w:w="1170"/>
          </w:tcPr>
          <w:p>
            <w:r/>
            <w:r>
              <w:rPr>
                <w:b/>
                <w:i w:val="0"/>
                <w:u w:val="single"/>
              </w:rPr>
              <w:t>87.01%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0.0897</w:t>
            </w:r>
          </w:p>
        </w:tc>
      </w:tr>
    </w:tbl>
    <w:p/>
    <w:p>
      <w:pPr>
        <w:pStyle w:val="Heading4"/>
        <w:spacing w:before="120" w:after="40"/>
      </w:pPr>
      <w:r>
        <w:t>💡 Análisis Detallado de los Modelos Base:</w:t>
      </w:r>
    </w:p>
    <w:p>
      <w:pPr>
        <w:pStyle w:val="ListBullet"/>
        <w:spacing w:before="20" w:after="40"/>
      </w:pPr>
      <w:r>
        <w:rPr>
          <w:b/>
          <w:i w:val="0"/>
          <w:u w:val="none"/>
        </w:rPr>
        <w:t>XGBoost:</w:t>
      </w:r>
      <w:r>
        <w:rPr>
          <w:b w:val="0"/>
          <w:i w:val="0"/>
          <w:u w:val="none"/>
        </w:rPr>
        <w:t xml:space="preserve"> Obtiene el </w:t>
      </w:r>
      <w:r>
        <w:rPr>
          <w:b/>
          <w:i w:val="0"/>
          <w:u w:val="none"/>
        </w:rPr>
        <w:t>mayor AUC individual (&lt;u&gt;0.7333&lt;/u&gt;)</w:t>
      </w:r>
      <w:r>
        <w:rPr>
          <w:b w:val="0"/>
          <w:i w:val="0"/>
          <w:u w:val="none"/>
        </w:rPr>
        <w:t xml:space="preserve">, la </w:t>
      </w:r>
      <w:r>
        <w:rPr>
          <w:b/>
          <w:i w:val="0"/>
          <w:u w:val="none"/>
        </w:rPr>
        <w:t>mayor Precisión@50 (&lt;u&gt;69.08%&lt;/u&gt;)</w:t>
      </w:r>
      <w:r>
        <w:rPr>
          <w:b w:val="0"/>
          <w:i w:val="0"/>
          <w:u w:val="none"/>
        </w:rPr>
        <w:t xml:space="preserve"> y el </w:t>
      </w:r>
      <w:r>
        <w:rPr>
          <w:b/>
          <w:i w:val="0"/>
          <w:u w:val="none"/>
        </w:rPr>
        <w:t>mejor F1-Score (&lt;u&gt;0.1241&lt;/u&gt;)</w:t>
      </w:r>
      <w:r>
        <w:rPr>
          <w:b w:val="0"/>
          <w:i w:val="0"/>
          <w:u w:val="none"/>
        </w:rPr>
        <w:t>. Demuestra la mejor capacidad global de discriminación y ordenamiento en el extremo superior de la lista.</w:t>
      </w:r>
    </w:p>
    <w:p>
      <w:pPr>
        <w:pStyle w:val="ListBullet"/>
        <w:spacing w:before="20" w:after="40"/>
      </w:pPr>
      <w:r>
        <w:rPr>
          <w:b/>
          <w:i w:val="0"/>
          <w:u w:val="none"/>
        </w:rPr>
        <w:t>CatBoost:</w:t>
      </w:r>
      <w:r>
        <w:rPr>
          <w:b w:val="0"/>
          <w:i w:val="0"/>
          <w:u w:val="none"/>
        </w:rPr>
        <w:t xml:space="preserve"> Es el algoritmo líder en la zona operativa de fiscalización estándar: logra la </w:t>
      </w:r>
      <w:r>
        <w:rPr>
          <w:b/>
          <w:i w:val="0"/>
          <w:u w:val="none"/>
        </w:rPr>
        <w:t>mayor Precisión@100 (&lt;u&gt;61.87%&lt;/u&gt;)</w:t>
      </w:r>
      <w:r>
        <w:rPr>
          <w:b w:val="0"/>
          <w:i w:val="0"/>
          <w:u w:val="none"/>
        </w:rPr>
        <w:t xml:space="preserve"> y la </w:t>
      </w:r>
      <w:r>
        <w:rPr>
          <w:b/>
          <w:i w:val="0"/>
          <w:u w:val="none"/>
        </w:rPr>
        <w:t>mayor Precisión@250 (&lt;u&gt;52.55%&lt;/u&gt;)</w:t>
      </w:r>
      <w:r>
        <w:rPr>
          <w:b w:val="0"/>
          <w:i w:val="0"/>
          <w:u w:val="none"/>
        </w:rPr>
        <w:t xml:space="preserve"> entre los modelos base.</w:t>
      </w:r>
    </w:p>
    <w:p>
      <w:pPr>
        <w:pStyle w:val="ListBullet"/>
        <w:spacing w:before="20" w:after="40"/>
      </w:pPr>
      <w:r>
        <w:rPr>
          <w:b/>
          <w:i w:val="0"/>
          <w:u w:val="none"/>
        </w:rPr>
        <w:t>LightGBM:</w:t>
      </w:r>
      <w:r>
        <w:rPr>
          <w:b w:val="0"/>
          <w:i w:val="0"/>
          <w:u w:val="none"/>
        </w:rPr>
        <w:t xml:space="preserve"> Alcanza el </w:t>
      </w:r>
      <w:r>
        <w:rPr>
          <w:b/>
          <w:i w:val="0"/>
          <w:u w:val="none"/>
        </w:rPr>
        <w:t>mejor Brier Score individual (&lt;u&gt;0.1037&lt;/u&gt;)</w:t>
      </w:r>
      <w:r>
        <w:rPr>
          <w:b w:val="0"/>
          <w:i w:val="0"/>
          <w:u w:val="none"/>
        </w:rPr>
        <w:t>, reflejando una excelente calibración probabilística natural, junto con el menor costo computacional (0.9 segundos por bloque de entrenamiento).</w:t>
      </w:r>
    </w:p>
    <w:p>
      <w:pPr>
        <w:pStyle w:val="ListBullet"/>
        <w:spacing w:before="20" w:after="40"/>
      </w:pPr>
      <w:r>
        <w:rPr>
          <w:b/>
          <w:i w:val="0"/>
          <w:u w:val="none"/>
        </w:rPr>
        <w:t>Random Forest:</w:t>
      </w:r>
      <w:r>
        <w:rPr>
          <w:b w:val="0"/>
          <w:i w:val="0"/>
          <w:u w:val="none"/>
        </w:rPr>
        <w:t xml:space="preserve"> Maximiza la exactitud global nominal (</w:t>
      </w:r>
      <w:r>
        <w:rPr>
          <w:b/>
          <w:i w:val="0"/>
          <w:u w:val="none"/>
        </w:rPr>
        <w:t>&lt;u&gt;87.01%&lt;/u&gt;</w:t>
      </w:r>
      <w:r>
        <w:rPr>
          <w:b w:val="0"/>
          <w:i w:val="0"/>
          <w:u w:val="none"/>
        </w:rPr>
        <w:t>), pero exhibe la menor precisión en el Top 100 (61.00%) y la mayor brecha de sobreajuste entre entrenamiento y validación (</w:t>
      </w:r>
      <w:r>
        <w:rPr>
          <w:b w:val="0"/>
          <w:i w:val="0"/>
          <w:u w:val="none"/>
        </w:rPr>
        <w:t>+0.0814</w:t>
      </w:r>
      <w:r>
        <w:rPr>
          <w:b w:val="0"/>
          <w:i w:val="0"/>
          <w:u w:val="none"/>
        </w:rPr>
        <w:t>).</w:t>
      </w:r>
    </w:p>
    <w:p>
      <w:pPr>
        <w:pStyle w:val="Heading3"/>
        <w:spacing w:before="160" w:after="60"/>
      </w:pPr>
      <w:r>
        <w:t>1.2 Modelos Base vs. Variantes con Calibración de Priors (Dal Pozzolo et al., 2015)</w:t>
      </w:r>
    </w:p>
    <w:p>
      <w:pPr>
        <w:spacing w:before="60" w:after="80"/>
      </w:pPr>
      <w:r>
        <w:rPr>
          <w:b w:val="0"/>
          <w:i w:val="0"/>
          <w:u w:val="none"/>
        </w:rPr>
        <w:t>Comparativa de los 4 modelos entrenados con su probabilidad bruta frente a su versión calibrada analíticamente: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Modelo / Estrategia</w:t>
            </w:r>
          </w:p>
        </w:tc>
        <w:tc>
          <w:tcPr>
            <w:tcW w:type="dxa" w:w="117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AUC</w:t>
            </w:r>
          </w:p>
        </w:tc>
        <w:tc>
          <w:tcPr>
            <w:tcW w:type="dxa" w:w="117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Precisión@50</w:t>
            </w:r>
          </w:p>
        </w:tc>
        <w:tc>
          <w:tcPr>
            <w:tcW w:type="dxa" w:w="117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Precisión@100</w:t>
            </w:r>
          </w:p>
        </w:tc>
        <w:tc>
          <w:tcPr>
            <w:tcW w:type="dxa" w:w="117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Precisión@250</w:t>
            </w:r>
          </w:p>
        </w:tc>
        <w:tc>
          <w:tcPr>
            <w:tcW w:type="dxa" w:w="117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Brier Score</w:t>
            </w:r>
          </w:p>
        </w:tc>
        <w:tc>
          <w:tcPr>
            <w:tcW w:type="dxa" w:w="117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Accuracy (0.5)</w:t>
            </w:r>
          </w:p>
        </w:tc>
        <w:tc>
          <w:tcPr>
            <w:tcW w:type="dxa" w:w="117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F1-Score (0.5)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CatBoost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0.7328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69.04%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61.87%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52.55%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0.1039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86.88%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0.1184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CatBoost (Calibrado)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0.7328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69.04%</w:t>
            </w:r>
          </w:p>
        </w:tc>
        <w:tc>
          <w:tcPr>
            <w:tcW w:type="dxa" w:w="1170"/>
          </w:tcPr>
          <w:p>
            <w:r/>
            <w:r>
              <w:rPr>
                <w:b/>
                <w:i w:val="0"/>
                <w:u w:val="single"/>
              </w:rPr>
              <w:t>61.88%</w:t>
            </w:r>
          </w:p>
        </w:tc>
        <w:tc>
          <w:tcPr>
            <w:tcW w:type="dxa" w:w="1170"/>
          </w:tcPr>
          <w:p>
            <w:r/>
            <w:r>
              <w:rPr>
                <w:b/>
                <w:i w:val="0"/>
                <w:u w:val="single"/>
              </w:rPr>
              <w:t>52.56%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0.1076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86.42%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0.1153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LightGBM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0.7326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68.87%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61.54%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52.26%</w:t>
            </w:r>
          </w:p>
        </w:tc>
        <w:tc>
          <w:tcPr>
            <w:tcW w:type="dxa" w:w="1170"/>
          </w:tcPr>
          <w:p>
            <w:r/>
            <w:r>
              <w:rPr>
                <w:b/>
                <w:i w:val="0"/>
                <w:u w:val="single"/>
              </w:rPr>
              <w:t>0.1037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86.94%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0.1035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LightGBM (Calibrado)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0.7326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68.79%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61.50%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52.26%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0.1070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86.57%</w:t>
            </w:r>
          </w:p>
        </w:tc>
        <w:tc>
          <w:tcPr>
            <w:tcW w:type="dxa" w:w="1170"/>
          </w:tcPr>
          <w:p>
            <w:r/>
            <w:r>
              <w:rPr>
                <w:b/>
                <w:i w:val="0"/>
                <w:u w:val="single"/>
              </w:rPr>
              <w:t>0.1281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XGBoost</w:t>
            </w:r>
          </w:p>
        </w:tc>
        <w:tc>
          <w:tcPr>
            <w:tcW w:type="dxa" w:w="1170"/>
          </w:tcPr>
          <w:p>
            <w:r/>
            <w:r>
              <w:rPr>
                <w:b/>
                <w:i w:val="0"/>
                <w:u w:val="single"/>
              </w:rPr>
              <w:t>0.7333</w:t>
            </w:r>
          </w:p>
        </w:tc>
        <w:tc>
          <w:tcPr>
            <w:tcW w:type="dxa" w:w="1170"/>
          </w:tcPr>
          <w:p>
            <w:r/>
            <w:r>
              <w:rPr>
                <w:b/>
                <w:i w:val="0"/>
                <w:u w:val="single"/>
              </w:rPr>
              <w:t>69.08%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61.70%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52.45%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0.1040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86.89%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0.1241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XGBoost (Calibrado)</w:t>
            </w:r>
          </w:p>
        </w:tc>
        <w:tc>
          <w:tcPr>
            <w:tcW w:type="dxa" w:w="1170"/>
          </w:tcPr>
          <w:p>
            <w:r/>
            <w:r>
              <w:rPr>
                <w:b/>
                <w:i w:val="0"/>
                <w:u w:val="single"/>
              </w:rPr>
              <w:t>0.7333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69.05%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61.73%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52.42%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0.1076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86.50%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0.1094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Random Forest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0.7282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68.53%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61.00%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52.12%</w:t>
            </w:r>
          </w:p>
        </w:tc>
        <w:tc>
          <w:tcPr>
            <w:tcW w:type="dxa" w:w="1170"/>
          </w:tcPr>
          <w:p>
            <w:r/>
            <w:r>
              <w:rPr>
                <w:b/>
                <w:i w:val="0"/>
                <w:u w:val="single"/>
              </w:rPr>
              <w:t>0.1037</w:t>
            </w:r>
          </w:p>
        </w:tc>
        <w:tc>
          <w:tcPr>
            <w:tcW w:type="dxa" w:w="1170"/>
          </w:tcPr>
          <w:p>
            <w:r/>
            <w:r>
              <w:rPr>
                <w:b/>
                <w:i w:val="0"/>
                <w:u w:val="single"/>
              </w:rPr>
              <w:t>87.01%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0.0897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Random Forest (Calibrado)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0.7282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68.52%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61.00%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52.11%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0.1059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86.74%</w:t>
            </w:r>
          </w:p>
        </w:tc>
        <w:tc>
          <w:tcPr>
            <w:tcW w:type="dxa" w:w="1170"/>
          </w:tcPr>
          <w:p>
            <w:r/>
            <w:r>
              <w:rPr>
                <w:b w:val="0"/>
                <w:i w:val="0"/>
                <w:u w:val="none"/>
              </w:rPr>
              <w:t>0.1042</w:t>
            </w:r>
          </w:p>
        </w:tc>
      </w:tr>
    </w:tbl>
    <w:p/>
    <w:p>
      <w:pPr>
        <w:pStyle w:val="Heading4"/>
        <w:spacing w:before="120" w:after="40"/>
      </w:pPr>
      <w:r>
        <w:t>💡 Impacto de la Calibración de Dal Pozzolo:</w:t>
      </w:r>
    </w:p>
    <w:p>
      <w:pPr>
        <w:pStyle w:val="ListBullet"/>
        <w:spacing w:before="20" w:after="40"/>
      </w:pPr>
      <w:r>
        <w:rPr>
          <w:b w:val="0"/>
          <w:i w:val="0"/>
          <w:u w:val="none"/>
        </w:rPr>
        <w:t>La transformación en escala logit es monótona: preserva exactamente el ranking y el AUC de cada modelo.</w:t>
      </w:r>
    </w:p>
    <w:p>
      <w:pPr>
        <w:pStyle w:val="ListBullet"/>
        <w:spacing w:before="20" w:after="40"/>
      </w:pPr>
      <w:r>
        <w:rPr>
          <w:b/>
          <w:i w:val="0"/>
          <w:u w:val="none"/>
        </w:rPr>
        <w:t>CatBoost Calibrado</w:t>
      </w:r>
      <w:r>
        <w:rPr>
          <w:b w:val="0"/>
          <w:i w:val="0"/>
          <w:u w:val="none"/>
        </w:rPr>
        <w:t xml:space="preserve"> alcanza el pico de precisión individual del estudio en el </w:t>
      </w:r>
      <w:r>
        <w:rPr>
          <w:b/>
          <w:i w:val="0"/>
          <w:u w:val="none"/>
        </w:rPr>
        <w:t>Top 100 (&lt;u&gt;61.88%&lt;/u&gt;)</w:t>
      </w:r>
      <w:r>
        <w:rPr>
          <w:b w:val="0"/>
          <w:i w:val="0"/>
          <w:u w:val="none"/>
        </w:rPr>
        <w:t xml:space="preserve"> y </w:t>
      </w:r>
      <w:r>
        <w:rPr>
          <w:b/>
          <w:i w:val="0"/>
          <w:u w:val="none"/>
        </w:rPr>
        <w:t>Top 250 (&lt;u&gt;52.56%&lt;/u&gt;)</w:t>
      </w:r>
      <w:r>
        <w:rPr>
          <w:b w:val="0"/>
          <w:i w:val="0"/>
          <w:u w:val="none"/>
        </w:rPr>
        <w:t>.</w:t>
      </w:r>
    </w:p>
    <w:p>
      <w:pPr>
        <w:pStyle w:val="ListBullet"/>
        <w:spacing w:before="20" w:after="40"/>
      </w:pPr>
      <w:r>
        <w:rPr>
          <w:b/>
          <w:i w:val="0"/>
          <w:u w:val="none"/>
        </w:rPr>
        <w:t>LightGBM Calibrado</w:t>
      </w:r>
      <w:r>
        <w:rPr>
          <w:b w:val="0"/>
          <w:i w:val="0"/>
          <w:u w:val="none"/>
        </w:rPr>
        <w:t xml:space="preserve"> alcanza el mayor </w:t>
      </w:r>
      <w:r>
        <w:rPr>
          <w:b w:val="0"/>
          <w:i w:val="0"/>
          <w:u w:val="none"/>
        </w:rPr>
        <w:t>F_1</w:t>
      </w:r>
      <w:r>
        <w:rPr>
          <w:b w:val="0"/>
          <w:i w:val="0"/>
          <w:u w:val="none"/>
        </w:rPr>
        <w:t xml:space="preserve"> individual del conjunto (</w:t>
      </w:r>
      <w:r>
        <w:rPr>
          <w:b/>
          <w:i w:val="0"/>
          <w:u w:val="none"/>
        </w:rPr>
        <w:t>&lt;u&gt;0.1281&lt;/u&gt;</w:t>
      </w:r>
      <w:r>
        <w:rPr>
          <w:b w:val="0"/>
          <w:i w:val="0"/>
          <w:u w:val="none"/>
        </w:rPr>
        <w:t>).</w:t>
      </w:r>
    </w:p>
    <w:p>
      <w:pPr>
        <w:pStyle w:val="Heading3"/>
        <w:spacing w:before="160" w:after="60"/>
      </w:pPr>
      <w:r>
        <w:t>1.3 Desempeño Individual por Tipo de Combustible (Periodo de Prueba 2026)</w:t>
      </w:r>
    </w:p>
    <w:p>
      <w:pPr>
        <w:spacing w:before="60" w:after="80"/>
      </w:pPr>
      <w:r>
        <w:rPr>
          <w:b w:val="0"/>
          <w:i w:val="0"/>
          <w:u w:val="none"/>
        </w:rPr>
        <w:t>Rendimiento desagregado por cada una de las 5 familias de combustibles sobre datos reales de 2026: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Combustible</w:t>
            </w:r>
          </w:p>
        </w:tc>
        <w:tc>
          <w:tcPr>
            <w:tcW w:type="dxa" w:w="1337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Observaciones</w:t>
            </w:r>
          </w:p>
        </w:tc>
        <w:tc>
          <w:tcPr>
            <w:tcW w:type="dxa" w:w="1337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Tasa Base Real</w:t>
            </w:r>
          </w:p>
        </w:tc>
        <w:tc>
          <w:tcPr>
            <w:tcW w:type="dxa" w:w="1337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AUC XGBoost</w:t>
            </w:r>
          </w:p>
        </w:tc>
        <w:tc>
          <w:tcPr>
            <w:tcW w:type="dxa" w:w="1337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AUC CatBoost</w:t>
            </w:r>
          </w:p>
        </w:tc>
        <w:tc>
          <w:tcPr>
            <w:tcW w:type="dxa" w:w="1337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Precisión@100 Modelo</w:t>
            </w:r>
          </w:p>
        </w:tc>
        <w:tc>
          <w:tcPr>
            <w:tcW w:type="dxa" w:w="1337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Precisión@100 Regla Heurística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/>
                <w:i w:val="0"/>
                <w:u w:val="none"/>
              </w:rPr>
              <w:t>Diesel B5 S-50 UV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i w:val="0"/>
                <w:u w:val="none"/>
              </w:rPr>
              <w:t>919,114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i w:val="0"/>
                <w:u w:val="none"/>
              </w:rPr>
              <w:t>40.43%</w:t>
            </w:r>
          </w:p>
        </w:tc>
        <w:tc>
          <w:tcPr>
            <w:tcW w:type="dxa" w:w="1337"/>
          </w:tcPr>
          <w:p>
            <w:r/>
            <w:r>
              <w:rPr>
                <w:b/>
                <w:i w:val="0"/>
                <w:u w:val="single"/>
              </w:rPr>
              <w:t>0.7393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i w:val="0"/>
                <w:u w:val="none"/>
              </w:rPr>
              <w:t>0.7385</w:t>
            </w:r>
          </w:p>
        </w:tc>
        <w:tc>
          <w:tcPr>
            <w:tcW w:type="dxa" w:w="1337"/>
          </w:tcPr>
          <w:p>
            <w:r/>
            <w:r>
              <w:rPr>
                <w:b/>
                <w:i w:val="0"/>
                <w:u w:val="single"/>
              </w:rPr>
              <w:t>72.98%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i w:val="0"/>
                <w:u w:val="none"/>
              </w:rPr>
              <w:t>72.57%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/>
                <w:i w:val="0"/>
                <w:u w:val="none"/>
              </w:rPr>
              <w:t>Gasolina / Gasohol Regular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i w:val="0"/>
                <w:u w:val="none"/>
              </w:rPr>
              <w:t>967,786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i w:val="0"/>
                <w:u w:val="none"/>
              </w:rPr>
              <w:t>37.54%</w:t>
            </w:r>
          </w:p>
        </w:tc>
        <w:tc>
          <w:tcPr>
            <w:tcW w:type="dxa" w:w="1337"/>
          </w:tcPr>
          <w:p>
            <w:r/>
            <w:r>
              <w:rPr>
                <w:b/>
                <w:i w:val="0"/>
                <w:u w:val="single"/>
              </w:rPr>
              <w:t>0.7157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i w:val="0"/>
                <w:u w:val="none"/>
              </w:rPr>
              <w:t>0.7142</w:t>
            </w:r>
          </w:p>
        </w:tc>
        <w:tc>
          <w:tcPr>
            <w:tcW w:type="dxa" w:w="1337"/>
          </w:tcPr>
          <w:p>
            <w:r/>
            <w:r>
              <w:rPr>
                <w:b/>
                <w:i w:val="0"/>
                <w:u w:val="single"/>
              </w:rPr>
              <w:t>70.15%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i w:val="0"/>
                <w:u w:val="none"/>
              </w:rPr>
              <w:t>67.91%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/>
                <w:i w:val="0"/>
                <w:u w:val="none"/>
              </w:rPr>
              <w:t>Gasolina / Gasohol Premium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i w:val="0"/>
                <w:u w:val="none"/>
              </w:rPr>
              <w:t>755,889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i w:val="0"/>
                <w:u w:val="none"/>
              </w:rPr>
              <w:t>37.58%</w:t>
            </w:r>
          </w:p>
        </w:tc>
        <w:tc>
          <w:tcPr>
            <w:tcW w:type="dxa" w:w="1337"/>
          </w:tcPr>
          <w:p>
            <w:r/>
            <w:r>
              <w:rPr>
                <w:b/>
                <w:i w:val="0"/>
                <w:u w:val="single"/>
              </w:rPr>
              <w:t>0.7116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i w:val="0"/>
                <w:u w:val="none"/>
              </w:rPr>
              <w:t>0.7108</w:t>
            </w:r>
          </w:p>
        </w:tc>
        <w:tc>
          <w:tcPr>
            <w:tcW w:type="dxa" w:w="1337"/>
          </w:tcPr>
          <w:p>
            <w:r/>
            <w:r>
              <w:rPr>
                <w:b/>
                <w:i w:val="0"/>
                <w:u w:val="single"/>
              </w:rPr>
              <w:t>69.14%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i w:val="0"/>
                <w:u w:val="none"/>
              </w:rPr>
              <w:t>68.03%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/>
                <w:i w:val="0"/>
                <w:u w:val="none"/>
              </w:rPr>
              <w:t>GLP Automotriz a Granel (GLP-G)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i w:val="0"/>
                <w:u w:val="none"/>
              </w:rPr>
              <w:t>318,623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i w:val="0"/>
                <w:u w:val="none"/>
              </w:rPr>
              <w:t>27.83%</w:t>
            </w:r>
          </w:p>
        </w:tc>
        <w:tc>
          <w:tcPr>
            <w:tcW w:type="dxa" w:w="1337"/>
          </w:tcPr>
          <w:p>
            <w:r/>
            <w:r>
              <w:rPr>
                <w:b/>
                <w:i w:val="0"/>
                <w:u w:val="single"/>
              </w:rPr>
              <w:t>0.7183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i w:val="0"/>
                <w:u w:val="none"/>
              </w:rPr>
              <w:t>0.7169</w:t>
            </w:r>
          </w:p>
        </w:tc>
        <w:tc>
          <w:tcPr>
            <w:tcW w:type="dxa" w:w="1337"/>
          </w:tcPr>
          <w:p>
            <w:r/>
            <w:r>
              <w:rPr>
                <w:b/>
                <w:i w:val="0"/>
                <w:u w:val="single"/>
              </w:rPr>
              <w:t>54.31%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i w:val="0"/>
                <w:u w:val="none"/>
              </w:rPr>
              <w:t>51.49%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/>
                <w:i w:val="0"/>
                <w:u w:val="none"/>
              </w:rPr>
              <w:t>GLP Envasado en Cilindro 10 kg (GLP-E)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i w:val="0"/>
                <w:u w:val="none"/>
              </w:rPr>
              <w:t>541,949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i w:val="0"/>
                <w:u w:val="none"/>
              </w:rPr>
              <w:t>8.93%</w:t>
            </w:r>
          </w:p>
        </w:tc>
        <w:tc>
          <w:tcPr>
            <w:tcW w:type="dxa" w:w="1337"/>
          </w:tcPr>
          <w:p>
            <w:r/>
            <w:r>
              <w:rPr>
                <w:b/>
                <w:i w:val="0"/>
                <w:u w:val="single"/>
              </w:rPr>
              <w:t>0.6536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i w:val="0"/>
                <w:u w:val="none"/>
              </w:rPr>
              <w:t>0.6511</w:t>
            </w:r>
          </w:p>
        </w:tc>
        <w:tc>
          <w:tcPr>
            <w:tcW w:type="dxa" w:w="1337"/>
          </w:tcPr>
          <w:p>
            <w:r/>
            <w:r>
              <w:rPr>
                <w:b/>
                <w:i w:val="0"/>
                <w:u w:val="single"/>
              </w:rPr>
              <w:t>22.30%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i w:val="0"/>
                <w:u w:val="none"/>
              </w:rPr>
              <w:t>17.06%</w:t>
            </w:r>
          </w:p>
        </w:tc>
      </w:tr>
    </w:tbl>
    <w:p/>
    <w:p>
      <w:pPr>
        <w:pStyle w:val="Heading2"/>
        <w:spacing w:before="200" w:after="80"/>
      </w:pPr>
      <w:r>
        <w:t>🏆 Sección 2: Modelos Individuales + Métricas de los Ensambles (Tabla Maestra)</w:t>
      </w:r>
    </w:p>
    <w:p>
      <w:pPr>
        <w:spacing w:before="60" w:after="80"/>
      </w:pPr>
      <w:r>
        <w:rPr>
          <w:b w:val="0"/>
          <w:i w:val="0"/>
          <w:u w:val="none"/>
        </w:rPr>
        <w:t xml:space="preserve">En esta sección se integran los </w:t>
      </w:r>
      <w:r>
        <w:rPr>
          <w:b/>
          <w:i w:val="0"/>
          <w:u w:val="none"/>
        </w:rPr>
        <w:t>8 modelos individuales</w:t>
      </w:r>
      <w:r>
        <w:rPr>
          <w:b w:val="0"/>
          <w:i w:val="0"/>
          <w:u w:val="none"/>
        </w:rPr>
        <w:t xml:space="preserve"> junto a las </w:t>
      </w:r>
      <w:r>
        <w:rPr>
          <w:b/>
          <w:i w:val="0"/>
          <w:u w:val="none"/>
        </w:rPr>
        <w:t>39 configuraciones de ensambles</w:t>
      </w:r>
      <w:r>
        <w:rPr>
          <w:b w:val="0"/>
          <w:i w:val="0"/>
          <w:u w:val="none"/>
        </w:rPr>
        <w:t xml:space="preserve"> evaluadas bajo el mismo protocolo experimental de validación temporal en 12 bloques (2025).</w:t>
      </w:r>
    </w:p>
    <w:p>
      <w:pPr>
        <w:pStyle w:val="Heading3"/>
        <w:spacing w:before="160" w:after="60"/>
      </w:pPr>
      <w:r>
        <w:t>2.1 La Gran Tabla Maestra Consolidada (47 Modelos)</w:t>
      </w:r>
    </w:p>
    <w:p>
      <w:pPr>
        <w:spacing w:before="60" w:after="80"/>
      </w:pPr>
      <w:r>
        <w:rPr>
          <w:b w:val="0"/>
          <w:i/>
          <w:u w:val="none"/>
        </w:rPr>
        <w:t>Los valores destacados con &lt;u&gt;</w:t>
      </w:r>
      <w:r>
        <w:rPr>
          <w:b w:val="0"/>
          <w:i/>
          <w:u w:val="none"/>
        </w:rPr>
        <w:t>negrita y subrayado</w:t>
      </w:r>
      <w:r>
        <w:rPr>
          <w:b w:val="0"/>
          <w:i/>
          <w:u w:val="none"/>
        </w:rPr>
        <w:t>&lt;/u&gt; identifican el récord absoluto de toda la investigación para dicha métrica.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Familia Metodológica</w:t>
            </w:r>
          </w:p>
        </w:tc>
        <w:tc>
          <w:tcPr>
            <w:tcW w:type="dxa" w:w="936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Modelo / Estrategia</w:t>
            </w:r>
          </w:p>
        </w:tc>
        <w:tc>
          <w:tcPr>
            <w:tcW w:type="dxa" w:w="936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AUC</w:t>
            </w:r>
          </w:p>
        </w:tc>
        <w:tc>
          <w:tcPr>
            <w:tcW w:type="dxa" w:w="936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Precisión@50</w:t>
            </w:r>
          </w:p>
        </w:tc>
        <w:tc>
          <w:tcPr>
            <w:tcW w:type="dxa" w:w="936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Precisión@100</w:t>
            </w:r>
          </w:p>
        </w:tc>
        <w:tc>
          <w:tcPr>
            <w:tcW w:type="dxa" w:w="936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Precisión@250</w:t>
            </w:r>
          </w:p>
        </w:tc>
        <w:tc>
          <w:tcPr>
            <w:tcW w:type="dxa" w:w="936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Brier Score</w:t>
            </w:r>
          </w:p>
        </w:tc>
        <w:tc>
          <w:tcPr>
            <w:tcW w:type="dxa" w:w="936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Accuracy (0.5)</w:t>
            </w:r>
          </w:p>
        </w:tc>
        <w:tc>
          <w:tcPr>
            <w:tcW w:type="dxa" w:w="936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F1-Score (0.5)</w:t>
            </w:r>
          </w:p>
        </w:tc>
        <w:tc>
          <w:tcPr>
            <w:tcW w:type="dxa" w:w="936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¿Supera a Todos? (4 de 4)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Modelos Individuales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CatBoost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0.7328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69.04%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61.87%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52.55%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0.1039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86.88%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0.1184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—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Modelos Individuales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CatBoost (Calibrado)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0.7328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69.04%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61.88%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52.56%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0.1076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86.42%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0.1153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—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Modelos Individuales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LightGBM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0.7326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68.87%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61.54%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52.26%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0.1037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86.94%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0.1035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—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Modelos Individuales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LightGBM (Calibrado)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0.7326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68.79%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61.50%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52.26%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0.1070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86.57%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0.1281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—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Modelos Individuales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XGBoost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0.7333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69.08%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61.70%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52.45%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0.1040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86.89%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0.1241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—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Modelos Individuales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XGBoost (Calibrado)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0.7333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69.05%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61.73%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52.42%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0.1076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86.50%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0.1094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—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Modelos Individuales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Random Forest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0.7282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68.53%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61.00%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52.12%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0.1037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87.01%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0.0897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—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Modelos Individuales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Random Forest (Calibrado)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0.7282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68.52%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61.00%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52.11%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0.1059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86.74%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0.1042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—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Votación Directa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Votación Dura (Mayoría)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0.7354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69.84%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62.50%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53.02%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0.1722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81.72%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0.3177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3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Votación Directa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Votación Suave (Promedio Simple)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single"/>
              </w:rPr>
              <w:t>0.7355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69.84%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62.50%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53.01%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0.1034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86.96%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0.1060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4 de 4</w:t>
            </w:r>
            <w:r>
              <w:rPr>
                <w:b w:val="0"/>
                <w:i w:val="0"/>
                <w:u w:val="none"/>
              </w:rPr>
              <w:t xml:space="preserve"> (Élite)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Votación Directa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Votación Ponderada (Pesos por AUC)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single"/>
              </w:rPr>
              <w:t>0.7355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69.85%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62.49%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53.00%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0.1034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86.96%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0.1060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4 de 4</w:t>
            </w:r>
            <w:r>
              <w:rPr>
                <w:b w:val="0"/>
                <w:i w:val="0"/>
                <w:u w:val="none"/>
              </w:rPr>
              <w:t xml:space="preserve"> (Élite)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Votación Directa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Promedio de Rangos (Rank Averaging)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0.7309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69.79%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62.24%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52.90%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0.1048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86.91%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0.0991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2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Bagging / Submuestreo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Bagging de XGBoost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0.7346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69.33%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62.37%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52.85%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0.1038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86.91%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0.1212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3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Bagging / Submuestreo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EasyEnsemble (LightGBM)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0.7333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68.71%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61.43%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52.18%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0.1984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70.37%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single"/>
              </w:rPr>
              <w:t>0.3518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1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Boosting como Metamodelo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Boosting Metamodelo (LightGBM)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0.7322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68.20%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60.90%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51.62%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0.1041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86.83%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0.1467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Boosting como Metamodelo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AdaBoost Metamodelo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0.7273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67.98%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61.00%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52.05%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0.1220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86.92%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0.1274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Boosting como Metamodelo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Boosting LightGBM (Temporal)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0.7255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63.43%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59.11%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50.71%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0.1082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86.39%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0.1216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Boosting como Metamodelo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AdaBoost Metamodelo (Temporal)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0.7291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64.14%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59.04%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51.43%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0.1234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86.51%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0.0676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Stacking Lineal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Stacking Lineal Clásico (Logit)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0.7298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68.71%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60.95%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51.92%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0.1042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86.85%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0.1437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Stacking Lineal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Stacking con Regularización L1 (Lasso)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0.7300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68.79%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61.05%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51.93%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0.1042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86.85%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0.1436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Stacking Lineal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Stacking con Regularización L2 (Ridge)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0.7301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68.84%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61.00%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51.95%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0.1042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86.85%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0.1433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Stacking Lineal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Stacking ElasticNet (L1 + L2)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0.7300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68.77%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61.03%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51.93%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0.1042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86.85%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0.1435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Stacking Lineal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Stacking Clásico Temporal (1 mes)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0.7338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69.81%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61.98%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52.47%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0.1072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86.49%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0.1310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2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Stacking Lineal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Stacking L1 Temporal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0.7340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69.86%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62.06%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52.49%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0.1069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86.54%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0.1282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2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Stacking Lineal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Stacking L2 Temporal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0.7340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69.75%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62.09%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52.56%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0.1075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86.50%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0.1121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2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Stacking Lineal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Stacking ElasticNet Temporal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0.7341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69.74%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62.12%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52.53%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0.1071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86.53%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0.1176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2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Stacking Restringido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Stacking No Negativo (Pesos &gt;= 0)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0.7330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69.53%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61.93%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52.58%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0.1038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86.88%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0.1471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2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Stacking Restringido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Stacking No Negativo Temporal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0.7348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70.07%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62.27%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52.82%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0.1069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86.50%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0.1310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3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Stacking No Lineal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Stacking No Lineal con Random Forest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0.7292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68.30%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60.74%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51.53%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0.1045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86.78%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0.1517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Stacking No Lineal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Stacking Random Forest Temporal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0.7296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64.47%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59.59%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51.91%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0.1073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86.51%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0.1261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Blending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Blending (Holdout 20%)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0.7300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68.70%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60.95%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51.95%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0.1043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86.83%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0.1471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Selección Greedy (Caruana)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Selección de Ensambles (Caruana)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0.7333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69.63%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62.03%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52.60%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0.1034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87.00%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0.0989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4 de 4</w:t>
            </w:r>
            <w:r>
              <w:rPr>
                <w:b w:val="0"/>
                <w:i w:val="0"/>
                <w:u w:val="none"/>
              </w:rPr>
              <w:t xml:space="preserve"> (Élite)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Selección Greedy (Caruana)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Selección Caruana (Calibrada)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0.7333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69.66%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62.04%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52.60%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0.1039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86.83%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0.1577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3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Selección Greedy (Caruana)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Selección Caruana Temporal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0.7348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69.97%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62.23%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52.78%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0.1035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86.97%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0.1069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4 de 4</w:t>
            </w:r>
            <w:r>
              <w:rPr>
                <w:b w:val="0"/>
                <w:i w:val="0"/>
                <w:u w:val="none"/>
              </w:rPr>
              <w:t xml:space="preserve"> (Élite)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Selección Greedy (Caruana)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Selección Caruana Calibrada Temporal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0.7348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69.95%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62.24%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52.78%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0.1070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86.56%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0.1287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3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Selección Dinámica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Selección Dinámica por Grifo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0.7323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68.47%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61.16%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52.17%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0.1075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86.48%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0.1168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Selección Dinámica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Mezcla de Expertos (MoE)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0.7252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67.26%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59.60%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50.18%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0.1091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86.22%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0.1330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Inferencia Bayesiana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Promedio Bayesiano de Modelos (BMA)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0.7319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69.23%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61.50%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52.31%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0.1036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single"/>
              </w:rPr>
              <w:t>87.02%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0.1070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1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STJC (Aporte de Tesis)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STJC: Pieza 1 (+ Multiventana 3m)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0.7343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69.71%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61.93%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52.63%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0.1039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87.00%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0.0660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3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STJC (Aporte de Tesis)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STJC: Pieza 2 (+ Pesos Convexos)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0.7347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69.88%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62.03%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52.81%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0.1033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87.00%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0.0989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4 de 4</w:t>
            </w:r>
            <w:r>
              <w:rPr>
                <w:b w:val="0"/>
                <w:i w:val="0"/>
                <w:u w:val="none"/>
              </w:rPr>
              <w:t xml:space="preserve"> (Élite)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STJC (Aporte de Tesis)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STJC: Pieza 3 (+ Contracción/Shrinkage)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0.7352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70.03%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62.46%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53.01%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87.00%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0.1026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4 de 4</w:t>
            </w:r>
            <w:r>
              <w:rPr>
                <w:b w:val="0"/>
                <w:i w:val="0"/>
                <w:u w:val="none"/>
              </w:rPr>
              <w:t xml:space="preserve"> (Élite)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STJC (Aporte de Tesis)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STJC: Pieza 4 (+ Jerarquía Combustible)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0.7352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70.03%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62.45%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53.00%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87.00%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0.1024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4 de 4</w:t>
            </w:r>
            <w:r>
              <w:rPr>
                <w:b w:val="0"/>
                <w:i w:val="0"/>
                <w:u w:val="none"/>
              </w:rPr>
              <w:t xml:space="preserve"> (Élite)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STJC (Aporte de Tesis)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STJC: Método Completo (+ Bagging Temporal)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0.7348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single"/>
              </w:rPr>
              <w:t>70.23%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single"/>
              </w:rPr>
              <w:t>62.51%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53.08%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single"/>
              </w:rPr>
              <w:t>0.1031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87.02%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0.0992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4 de 4</w:t>
            </w:r>
            <w:r>
              <w:rPr>
                <w:b w:val="0"/>
                <w:i w:val="0"/>
                <w:u w:val="none"/>
              </w:rPr>
              <w:t xml:space="preserve"> (Élite)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STJC (Aporte de Tesis)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STJC + Calibración Posterior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0.7348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single"/>
              </w:rPr>
              <w:t>70.23%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62.50%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single"/>
              </w:rPr>
              <w:t>53.08%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0.1040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87.01%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0.0971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3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Votación con Calibración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Votación Suave (Calibrada)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single"/>
              </w:rPr>
              <w:t>0.7355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69.84%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62.46%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53.00%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0.1067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86.49%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0.1226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3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Votación con Calibración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Votación Ponderada (Calibrada)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single"/>
              </w:rPr>
              <w:t>0.7355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69.84%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62.45%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53.00%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0.1067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86.51%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0.1222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3 de 4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Votación con Calibración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Votación Dura (Calibrada)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0.7354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69.02%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61.86%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52.83%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0.1067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86.49%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0.1226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2 de 4</w:t>
            </w:r>
          </w:p>
        </w:tc>
      </w:tr>
    </w:tbl>
    <w:p/>
    <w:p>
      <w:pPr>
        <w:pStyle w:val="Heading3"/>
        <w:spacing w:before="160" w:after="60"/>
      </w:pPr>
      <w:r>
        <w:t>2.2 Cuadro de Honor: Los 8 Ensambles de Élite que Superaron a Todos los Individuales en las 4 Métricas (4 de 4)</w:t>
      </w:r>
    </w:p>
    <w:p>
      <w:pPr>
        <w:spacing w:before="60" w:after="80"/>
      </w:pPr>
      <w:r>
        <w:rPr>
          <w:b w:val="0"/>
          <w:i w:val="0"/>
          <w:u w:val="none"/>
        </w:rPr>
        <w:t xml:space="preserve">De las 39 configuraciones de ensambles, solo </w:t>
      </w:r>
      <w:r>
        <w:rPr>
          <w:b/>
          <w:i w:val="0"/>
          <w:u w:val="none"/>
        </w:rPr>
        <w:t>8 lograron superar simultáneamente al mejor modelo individual en las 4 métricas cardinales (AUC &gt; 0.7333, $p@100$ &gt; 61.87%, $p@250$ &gt; 52.55% y Brier &lt; 0.1037)</w:t>
      </w:r>
      <w:r>
        <w:rPr>
          <w:b w:val="0"/>
          <w:i w:val="0"/>
          <w:u w:val="none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Familia Metodológica</w:t>
            </w:r>
          </w:p>
        </w:tc>
        <w:tc>
          <w:tcPr>
            <w:tcW w:type="dxa" w:w="936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Modelo / Estrategia</w:t>
            </w:r>
          </w:p>
        </w:tc>
        <w:tc>
          <w:tcPr>
            <w:tcW w:type="dxa" w:w="936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AUC</w:t>
            </w:r>
          </w:p>
        </w:tc>
        <w:tc>
          <w:tcPr>
            <w:tcW w:type="dxa" w:w="936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Precisión@50</w:t>
            </w:r>
          </w:p>
        </w:tc>
        <w:tc>
          <w:tcPr>
            <w:tcW w:type="dxa" w:w="936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Precisión@100</w:t>
            </w:r>
          </w:p>
        </w:tc>
        <w:tc>
          <w:tcPr>
            <w:tcW w:type="dxa" w:w="936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Precisión@250</w:t>
            </w:r>
          </w:p>
        </w:tc>
        <w:tc>
          <w:tcPr>
            <w:tcW w:type="dxa" w:w="936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Brier Score</w:t>
            </w:r>
          </w:p>
        </w:tc>
        <w:tc>
          <w:tcPr>
            <w:tcW w:type="dxa" w:w="936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Accuracy (0.5)</w:t>
            </w:r>
          </w:p>
        </w:tc>
        <w:tc>
          <w:tcPr>
            <w:tcW w:type="dxa" w:w="936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F1-Score (0.5)</w:t>
            </w:r>
          </w:p>
        </w:tc>
        <w:tc>
          <w:tcPr>
            <w:tcW w:type="dxa" w:w="936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¿Supera a Todos? (4 de 4)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Votación Directa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Votación Suave (Promedio Simple)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single"/>
              </w:rPr>
              <w:t>0.7355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69.84%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62.50%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53.01%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0.1034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86.96%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0.1060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4 de 4</w:t>
            </w:r>
            <w:r>
              <w:rPr>
                <w:b w:val="0"/>
                <w:i w:val="0"/>
                <w:u w:val="none"/>
              </w:rPr>
              <w:t xml:space="preserve"> (Élite)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Votación Directa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Votación Ponderada (Pesos por AUC)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single"/>
              </w:rPr>
              <w:t>0.7355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69.85%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62.49%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53.00%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0.1034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86.96%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0.1060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4 de 4</w:t>
            </w:r>
            <w:r>
              <w:rPr>
                <w:b w:val="0"/>
                <w:i w:val="0"/>
                <w:u w:val="none"/>
              </w:rPr>
              <w:t xml:space="preserve"> (Élite)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Selección Greedy (Caruana)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Selección de Ensambles (Caruana)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0.7333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69.63%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62.03%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52.60%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0.1034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87.00%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0.0989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4 de 4</w:t>
            </w:r>
            <w:r>
              <w:rPr>
                <w:b w:val="0"/>
                <w:i w:val="0"/>
                <w:u w:val="none"/>
              </w:rPr>
              <w:t xml:space="preserve"> (Élite)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Selección Greedy (Caruana)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Selección Caruana Temporal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0.7348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69.97%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62.23%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52.78%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0.1035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86.97%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0.1069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4 de 4</w:t>
            </w:r>
            <w:r>
              <w:rPr>
                <w:b w:val="0"/>
                <w:i w:val="0"/>
                <w:u w:val="none"/>
              </w:rPr>
              <w:t xml:space="preserve"> (Élite)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STJC (Aporte de Tesis)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STJC: Pieza 2 (+ Pesos Convexos)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0.7347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69.88%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62.03%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52.81%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0.1033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87.00%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0.0989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4 de 4</w:t>
            </w:r>
            <w:r>
              <w:rPr>
                <w:b w:val="0"/>
                <w:i w:val="0"/>
                <w:u w:val="none"/>
              </w:rPr>
              <w:t xml:space="preserve"> (Élite)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STJC (Aporte de Tesis)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STJC: Pieza 3 (+ Contracción/Shrinkage)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0.7352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70.03%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62.46%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53.01%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87.00%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0.1026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4 de 4</w:t>
            </w:r>
            <w:r>
              <w:rPr>
                <w:b w:val="0"/>
                <w:i w:val="0"/>
                <w:u w:val="none"/>
              </w:rPr>
              <w:t xml:space="preserve"> (Élite)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STJC (Aporte de Tesis)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STJC: Pieza 4 (+ Jerarquía Combustible)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0.7352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70.03%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62.45%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53.00%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0.1032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87.00%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0.1024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4 de 4</w:t>
            </w:r>
            <w:r>
              <w:rPr>
                <w:b w:val="0"/>
                <w:i w:val="0"/>
                <w:u w:val="none"/>
              </w:rPr>
              <w:t xml:space="preserve"> (Élite)</w:t>
            </w:r>
          </w:p>
        </w:tc>
      </w:tr>
      <w:tr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STJC (Aporte de Tesis)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STJC: Método Completo (+ Bagging Temporal)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0.7348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single"/>
              </w:rPr>
              <w:t>70.23%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single"/>
              </w:rPr>
              <w:t>62.51%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53.08%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single"/>
              </w:rPr>
              <w:t>0.1031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87.02%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i w:val="0"/>
                <w:u w:val="none"/>
              </w:rPr>
              <w:t>0.0992</w:t>
            </w:r>
          </w:p>
        </w:tc>
        <w:tc>
          <w:tcPr>
            <w:tcW w:type="dxa" w:w="936"/>
          </w:tcPr>
          <w:p>
            <w:r/>
            <w:r>
              <w:rPr>
                <w:b/>
                <w:i w:val="0"/>
                <w:u w:val="none"/>
              </w:rPr>
              <w:t>4 de 4</w:t>
            </w:r>
            <w:r>
              <w:rPr>
                <w:b w:val="0"/>
                <w:i w:val="0"/>
                <w:u w:val="none"/>
              </w:rPr>
              <w:t xml:space="preserve"> (Élite)</w:t>
            </w:r>
          </w:p>
        </w:tc>
      </w:tr>
    </w:tbl>
    <w:p/>
    <w:p>
      <w:pPr>
        <w:pStyle w:val="Heading4"/>
        <w:spacing w:before="120" w:after="40"/>
      </w:pPr>
      <w:r>
        <w:t>🌟 Los Dos Grandes Campeones de la Tesis:</w:t>
      </w:r>
    </w:p>
    <w:p>
      <w:pPr>
        <w:pStyle w:val="ListNumber"/>
        <w:spacing w:before="20" w:after="40"/>
      </w:pPr>
      <w:r>
        <w:rPr>
          <w:b/>
          <w:i w:val="0"/>
          <w:u w:val="none"/>
        </w:rPr>
        <w:t>Votación Suave (*Soft Voting* / Stacking Promedio):</w:t>
      </w:r>
    </w:p>
    <w:p>
      <w:pPr>
        <w:spacing w:before="60" w:after="80"/>
      </w:pPr>
      <w:r>
        <w:rPr>
          <w:b w:val="0"/>
          <w:i/>
          <w:u w:val="none"/>
        </w:rPr>
        <w:t xml:space="preserve"> </w:t>
      </w:r>
      <w:r>
        <w:rPr>
          <w:b w:val="0"/>
          <w:i/>
          <w:u w:val="none"/>
        </w:rPr>
        <w:t>Récord Absoluto de AUC:</w:t>
      </w:r>
      <w:r>
        <w:rPr>
          <w:b w:val="0"/>
          <w:i/>
          <w:u w:val="none"/>
        </w:rPr>
        <w:t xml:space="preserve"> &lt;u&gt;</w:t>
      </w:r>
      <w:r>
        <w:rPr>
          <w:b w:val="0"/>
          <w:i/>
          <w:u w:val="none"/>
        </w:rPr>
        <w:t>0.7355</w:t>
      </w:r>
      <w:r>
        <w:rPr>
          <w:b w:val="0"/>
          <w:i w:val="0"/>
          <w:u w:val="none"/>
        </w:rPr>
        <w:t>&lt;/u&gt;.</w:t>
      </w:r>
    </w:p>
    <w:p>
      <w:pPr>
        <w:spacing w:before="60" w:after="80"/>
      </w:pPr>
      <w:r>
        <w:rPr>
          <w:b w:val="0"/>
          <w:i w:val="0"/>
          <w:u w:val="none"/>
        </w:rPr>
        <w:t xml:space="preserve"> Promedia de forma parsimoniosa las probabilidades de los 4 modelos base:</w:t>
      </w:r>
    </w:p>
    <w:p>
      <w:pPr>
        <w:spacing w:before="60" w:after="80"/>
      </w:pPr>
      <w:r>
        <w:rPr>
          <w:b w:val="0"/>
          <w:i w:val="0"/>
          <w:u w:val="none"/>
        </w:rPr>
        <w:t>P_{\text{final}} = \frac{P_{\text{Cat}} + P_{\text{Lgb}} + P_{\text{Xgb}} + P_{\text{RF}}}{4}</w:t>
      </w:r>
    </w:p>
    <w:p>
      <w:pPr>
        <w:spacing w:before="60" w:after="80"/>
      </w:pPr>
      <w:r>
        <w:rPr>
          <w:b w:val="0"/>
          <w:i/>
          <w:u w:val="none"/>
        </w:rPr>
        <w:t xml:space="preserve"> Por su estabilidad matemática, robustez frente al sobreajuste y rapidez operativa, fue el </w:t>
      </w:r>
      <w:r>
        <w:rPr>
          <w:b w:val="0"/>
          <w:i/>
          <w:u w:val="none"/>
        </w:rPr>
        <w:t>algoritmo seleccionado para la prueba final de 2026 y entregado en producción</w:t>
      </w:r>
      <w:r>
        <w:rPr>
          <w:b w:val="0"/>
          <w:i w:val="0"/>
          <w:u w:val="none"/>
        </w:rPr>
        <w:t>.</w:t>
      </w:r>
    </w:p>
    <w:p>
      <w:pPr>
        <w:pStyle w:val="ListNumber"/>
        <w:spacing w:before="20" w:after="40"/>
      </w:pPr>
      <w:r>
        <w:rPr>
          <w:b/>
          <w:i w:val="0"/>
          <w:u w:val="none"/>
        </w:rPr>
        <w:t>STJC: Stacking Temporal Jerárquico con Contracción (Nuestra Propuesta Metodológica):</w:t>
      </w:r>
    </w:p>
    <w:p>
      <w:pPr>
        <w:spacing w:before="60" w:after="80"/>
      </w:pPr>
      <w:r>
        <w:rPr>
          <w:b w:val="0"/>
          <w:i/>
          <w:u w:val="none"/>
        </w:rPr>
        <w:t xml:space="preserve"> </w:t>
      </w:r>
      <w:r>
        <w:rPr>
          <w:b w:val="0"/>
          <w:i/>
          <w:u w:val="none"/>
        </w:rPr>
        <w:t>Récord Absoluto en el Top 100:</w:t>
      </w:r>
      <w:r>
        <w:rPr>
          <w:b w:val="0"/>
          <w:i/>
          <w:u w:val="none"/>
        </w:rPr>
        <w:t xml:space="preserve"> &lt;u&gt;</w:t>
      </w:r>
      <w:r>
        <w:rPr>
          <w:b w:val="0"/>
          <w:i/>
          <w:u w:val="none"/>
        </w:rPr>
        <w:t>62.51%</w:t>
      </w:r>
      <w:r>
        <w:rPr>
          <w:b w:val="0"/>
          <w:i w:val="0"/>
          <w:u w:val="none"/>
        </w:rPr>
        <w:t>&lt;/u&gt; de precisión (</w:t>
      </w:r>
      <w:r>
        <w:rPr>
          <w:b w:val="0"/>
          <w:i w:val="0"/>
          <w:u w:val="none"/>
        </w:rPr>
        <w:t>p@100</w:t>
      </w:r>
      <w:r>
        <w:rPr>
          <w:b w:val="0"/>
          <w:i w:val="0"/>
          <w:u w:val="none"/>
        </w:rPr>
        <w:t>).</w:t>
      </w:r>
    </w:p>
    <w:p>
      <w:pPr>
        <w:spacing w:before="60" w:after="80"/>
      </w:pPr>
      <w:r>
        <w:rPr>
          <w:b w:val="0"/>
          <w:i/>
          <w:u w:val="none"/>
        </w:rPr>
        <w:t xml:space="preserve"> </w:t>
      </w:r>
      <w:r>
        <w:rPr>
          <w:b w:val="0"/>
          <w:i/>
          <w:u w:val="none"/>
        </w:rPr>
        <w:t>Récord Absoluto en el Top 50:</w:t>
      </w:r>
      <w:r>
        <w:rPr>
          <w:b w:val="0"/>
          <w:i/>
          <w:u w:val="none"/>
        </w:rPr>
        <w:t xml:space="preserve"> &lt;u&gt;</w:t>
      </w:r>
      <w:r>
        <w:rPr>
          <w:b w:val="0"/>
          <w:i/>
          <w:u w:val="none"/>
        </w:rPr>
        <w:t>70.23%</w:t>
      </w:r>
      <w:r>
        <w:rPr>
          <w:b w:val="0"/>
          <w:i w:val="0"/>
          <w:u w:val="none"/>
        </w:rPr>
        <w:t>&lt;/u&gt; de precisión (</w:t>
      </w:r>
      <w:r>
        <w:rPr>
          <w:b w:val="0"/>
          <w:i w:val="0"/>
          <w:u w:val="none"/>
        </w:rPr>
        <w:t>p@50</w:t>
      </w:r>
      <w:r>
        <w:rPr>
          <w:b w:val="0"/>
          <w:i w:val="0"/>
          <w:u w:val="none"/>
        </w:rPr>
        <w:t>).</w:t>
      </w:r>
    </w:p>
    <w:p>
      <w:pPr>
        <w:spacing w:before="60" w:after="80"/>
      </w:pPr>
      <w:r>
        <w:rPr>
          <w:b w:val="0"/>
          <w:i/>
          <w:u w:val="none"/>
        </w:rPr>
        <w:t xml:space="preserve"> </w:t>
      </w:r>
      <w:r>
        <w:rPr>
          <w:b w:val="0"/>
          <w:i/>
          <w:u w:val="none"/>
        </w:rPr>
        <w:t>Mejor Calibración Probabilística:</w:t>
      </w:r>
      <w:r>
        <w:rPr>
          <w:b w:val="0"/>
          <w:i/>
          <w:u w:val="none"/>
        </w:rPr>
        <w:t xml:space="preserve"> Brier Score de &lt;u&gt;</w:t>
      </w:r>
      <w:r>
        <w:rPr>
          <w:b w:val="0"/>
          <w:i/>
          <w:u w:val="none"/>
        </w:rPr>
        <w:t>0.1031</w:t>
      </w:r>
      <w:r>
        <w:rPr>
          <w:b w:val="0"/>
          <w:i w:val="0"/>
          <w:u w:val="none"/>
        </w:rPr>
        <w:t>&lt;/u&gt;.</w:t>
      </w:r>
    </w:p>
    <w:p>
      <w:pPr>
        <w:spacing w:before="60" w:after="80"/>
      </w:pPr>
      <w:r>
        <w:rPr>
          <w:b w:val="0"/>
          <w:i w:val="0"/>
          <w:u w:val="none"/>
        </w:rPr>
        <w:t xml:space="preserve"> Es el aporte de diseño de la tesis que resuelve la multicolinealidad extrema de las probabilidades en series de tiempo mediante restricciones convexas y contracción hacia pesos iguales.</w:t>
      </w:r>
    </w:p>
    <w:p>
      <w:pPr>
        <w:pStyle w:val="Heading3"/>
        <w:spacing w:before="160" w:after="60"/>
      </w:pPr>
      <w:r>
        <w:t>2.3 Desglose de Ablación Paso a Paso de STJC (Sección 14.11)</w:t>
      </w:r>
    </w:p>
    <w:p>
      <w:pPr>
        <w:spacing w:before="60" w:after="80"/>
      </w:pPr>
      <w:r>
        <w:rPr>
          <w:b w:val="0"/>
          <w:i w:val="0"/>
          <w:u w:val="none"/>
        </w:rPr>
        <w:t>Esta tabla demuestra el aporte incremental de cada módulo arquitectónico de STJC: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Fase / Pieza Incorporada</w:t>
            </w:r>
          </w:p>
        </w:tc>
        <w:tc>
          <w:tcPr>
            <w:tcW w:type="dxa" w:w="104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AUC</w:t>
            </w:r>
          </w:p>
        </w:tc>
        <w:tc>
          <w:tcPr>
            <w:tcW w:type="dxa" w:w="104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Precisión@100</w:t>
            </w:r>
          </w:p>
        </w:tc>
        <w:tc>
          <w:tcPr>
            <w:tcW w:type="dxa" w:w="104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Precisión@250</w:t>
            </w:r>
          </w:p>
        </w:tc>
        <w:tc>
          <w:tcPr>
            <w:tcW w:type="dxa" w:w="104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Brier Score</w:t>
            </w:r>
          </w:p>
        </w:tc>
        <w:tc>
          <w:tcPr>
            <w:tcW w:type="dxa" w:w="104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\Delta</w:t>
            </w:r>
            <w:r>
              <w:rPr>
                <w:b/>
                <w:i w:val="0"/>
                <w:u w:val="none"/>
              </w:rPr>
              <w:t xml:space="preserve"> AUC</w:t>
            </w:r>
          </w:p>
        </w:tc>
        <w:tc>
          <w:tcPr>
            <w:tcW w:type="dxa" w:w="104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\Delta</w:t>
            </w:r>
            <w:r>
              <w:rPr>
                <w:b/>
                <w:i w:val="0"/>
                <w:u w:val="none"/>
              </w:rPr>
              <w:t xml:space="preserve"> </w:t>
            </w:r>
            <w:r>
              <w:rPr>
                <w:b/>
                <w:i w:val="0"/>
                <w:u w:val="none"/>
              </w:rPr>
              <w:t>p@100</w:t>
            </w:r>
          </w:p>
        </w:tc>
        <w:tc>
          <w:tcPr>
            <w:tcW w:type="dxa" w:w="104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\Delta</w:t>
            </w:r>
            <w:r>
              <w:rPr>
                <w:b/>
                <w:i w:val="0"/>
                <w:u w:val="none"/>
              </w:rPr>
              <w:t xml:space="preserve"> Brier</w:t>
            </w:r>
          </w:p>
        </w:tc>
        <w:tc>
          <w:tcPr>
            <w:tcW w:type="dxa" w:w="104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Aporte Metodológico Concreto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0. Stacking Clásico Temporal (1 mes)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0.7338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61.98%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52.47%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0.1072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—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—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—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Punto de partida lineal sin regularización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1. + Multiventana Temporal (3 meses)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0.7343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61.93%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52.63%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0.1039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+0.0005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-0.05%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-0.0033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Baja drásticamente el error de calibración (Brier)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2. + Pesos Convexos ($w_i \ge 0, \sum w = 1$)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0.7347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62.03%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52.81%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0.1033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+0.0004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+0.10%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-0.0005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Elimina coeficientes negativos inestables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3. + Contracción (*Shrinkage* a 0.25)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&lt;u&gt;0.7352&lt;/u&gt;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62.46%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53.01%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0.1032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+0.0005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+0.43%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-0.0001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Dispara la precisión del ranking Top 100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4. + Jerarquía por Combustible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&lt;u&gt;0.7352&lt;/u&gt;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62.45%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53.00%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0.1032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-0.0000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-0.01%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-0.0000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Permite especialización por combustible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5. + Bagging Temporal = STJC COMPLETO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0.7348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&lt;u&gt;62.51%&lt;/u&gt;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&lt;u&gt;53.08%&lt;/u&gt;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&lt;u&gt;0.1031&lt;/u&gt;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-0.0004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+0.06%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-0.0001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RÉCORD ABSOLUTO EN $p@100$ Y BRIER SCORE</w:t>
            </w:r>
          </w:p>
        </w:tc>
      </w:tr>
    </w:tbl>
    <w:p/>
    <w:p>
      <w:pPr>
        <w:pStyle w:val="Heading2"/>
        <w:spacing w:before="200" w:after="80"/>
      </w:pPr>
      <w:r>
        <w:t>📈 Sección 3: Auditoría Estadística y Validación Operativa en el Mundo Real (2026)</w:t>
      </w:r>
    </w:p>
    <w:p>
      <w:pPr>
        <w:pStyle w:val="Heading3"/>
        <w:spacing w:before="160" w:after="60"/>
      </w:pPr>
      <w:r>
        <w:t>3.1 365 Pruebas Diarias de Wilcoxon Pareado con Corrección Holm-Bonferroni (2025)</w:t>
      </w:r>
    </w:p>
    <w:p>
      <w:pPr>
        <w:spacing w:before="60" w:after="80"/>
      </w:pPr>
      <w:r>
        <w:rPr>
          <w:b w:val="0"/>
          <w:i w:val="0"/>
          <w:u w:val="none"/>
        </w:rPr>
        <w:t xml:space="preserve">Evaluación pareada día a día durante los </w:t>
      </w:r>
      <w:r>
        <w:rPr>
          <w:b/>
          <w:i w:val="0"/>
          <w:u w:val="none"/>
        </w:rPr>
        <w:t>365 días del año 2025</w:t>
      </w:r>
      <w:r>
        <w:rPr>
          <w:b w:val="0"/>
          <w:i w:val="0"/>
          <w:u w:val="none"/>
        </w:rPr>
        <w:t xml:space="preserve"> frente a cada uno de los 4 modelos individuales en las 4 métricas (</w:t>
      </w:r>
      <w:r>
        <w:rPr>
          <w:b w:val="0"/>
          <w:i w:val="0"/>
          <w:u w:val="none"/>
        </w:rPr>
        <w:t>4 \times 4 = 16</w:t>
      </w:r>
      <w:r>
        <w:rPr>
          <w:b w:val="0"/>
          <w:i w:val="0"/>
          <w:u w:val="none"/>
        </w:rPr>
        <w:t xml:space="preserve"> comparaciones):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Ensamble Evaluado</w:t>
            </w:r>
          </w:p>
        </w:tc>
        <w:tc>
          <w:tcPr>
            <w:tcW w:type="dxa" w:w="104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Métrica</w:t>
            </w:r>
          </w:p>
        </w:tc>
        <w:tc>
          <w:tcPr>
            <w:tcW w:type="dxa" w:w="104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Frente a Modelo Base</w:t>
            </w:r>
          </w:p>
        </w:tc>
        <w:tc>
          <w:tcPr>
            <w:tcW w:type="dxa" w:w="104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Días Evaluados</w:t>
            </w:r>
          </w:p>
        </w:tc>
        <w:tc>
          <w:tcPr>
            <w:tcW w:type="dxa" w:w="104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Ventaja Media Diaria</w:t>
            </w:r>
          </w:p>
        </w:tc>
        <w:tc>
          <w:tcPr>
            <w:tcW w:type="dxa" w:w="104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% Días que Gana el Ensamble</w:t>
            </w:r>
          </w:p>
        </w:tc>
        <w:tc>
          <w:tcPr>
            <w:tcW w:type="dxa" w:w="104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p</w:t>
            </w:r>
            <w:r>
              <w:rPr>
                <w:b/>
                <w:i w:val="0"/>
                <w:u w:val="none"/>
              </w:rPr>
              <w:t>-valor Crudo</w:t>
            </w:r>
          </w:p>
        </w:tc>
        <w:tc>
          <w:tcPr>
            <w:tcW w:type="dxa" w:w="104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p</w:t>
            </w:r>
            <w:r>
              <w:rPr>
                <w:b/>
                <w:i w:val="0"/>
                <w:u w:val="none"/>
              </w:rPr>
              <w:t>-valor Ajustado (Holm)</w:t>
            </w:r>
          </w:p>
        </w:tc>
        <w:tc>
          <w:tcPr>
            <w:tcW w:type="dxa" w:w="104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Significativo al 1% (</w:t>
            </w:r>
            <w:r>
              <w:rPr>
                <w:b/>
                <w:i w:val="0"/>
                <w:u w:val="none"/>
              </w:rPr>
              <w:t>p &lt; 0.01</w:t>
            </w:r>
            <w:r>
              <w:rPr>
                <w:b/>
                <w:i w:val="0"/>
                <w:u w:val="none"/>
              </w:rPr>
              <w:t>)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Votación Suave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AUC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CatBoost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365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+0.0028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81.37%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4.61 \times 10^{-31}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6.00 \times 10^{-30}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Votación Suave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AUC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LightGBM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365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+0.0030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87.12%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1.40 \times 10^{-48}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2.11 \times 10^{-47}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Votación Suave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AUC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XGBoost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365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+0.0023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78.36%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2.81 \times 10^{-33}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3.93 \times 10^{-32}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Votación Suave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AUC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Random Forest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365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+0.0064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93.15%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2.22 \times 10^{-55}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3.55 \times 10^{-54}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Votación Suave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p@100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CatBoost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365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+0.63%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50.14%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1.20 \times 10^{-3}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1.20 \times 10^{-3}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Sí ($p = 0.0012 &lt; 0.01$)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Votación Suave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p@100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LightGBM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365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+0.97%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57.26%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1.55 \times 10^{-7}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7.75 \times 10^{-7}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Votación Suave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p@100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XGBoost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365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+0.78%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53.97%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1.00 \times 10^{-5}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3.01 \times 10^{-5}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Votación Suave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p@100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Random Forest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365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+1.51%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56.71%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5.03 \times 10^{-9}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3.52 \times 10^{-8}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STJC (Nuestro Método)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AUC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CatBoost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365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+0.0023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72.33%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3.29 \times 10^{-23}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4.27 \times 10^{-22}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STJC (Nuestro Método)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AUC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LightGBM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365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+0.0025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77.81%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3.73 \times 10^{-31}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5.59 \times 10^{-30}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STJC (Nuestro Método)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AUC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XGBoost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365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+0.0018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69.04%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2.11 \times 10^{-16}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1.90 \times 10^{-15}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STJC (Nuestro Método)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AUC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Random Forest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365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+0.0059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87.95%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1.08 \times 10^{-49}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1.72 \times 10^{-48}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STJC (Nuestro Método)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p@100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CatBoost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365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+0.63%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52.88%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2.03 \times 10^{-4}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2.03 \times 10^{-4}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Sí ($p = 0.0002 &lt; 0.001$)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STJC (Nuestro Método)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p@100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LightGBM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365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+0.97%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56.99%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1.08 \times 10^{-7}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4.33 \times 10^{-7}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STJC (Nuestro Método)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p@100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XGBoost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365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+0.78%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54.52%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1.34 \times 10^{-5}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4.01 \times 10^{-5}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Sí (Altamente Significativo)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STJC (Nuestro Método)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p@100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Random Forest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365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+1.51%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59.18%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1.55 \times 10^{-9}</w:t>
            </w:r>
          </w:p>
        </w:tc>
        <w:tc>
          <w:tcPr>
            <w:tcW w:type="dxa" w:w="1040"/>
          </w:tcPr>
          <w:p>
            <w:r/>
            <w:r>
              <w:rPr>
                <w:b w:val="0"/>
                <w:i w:val="0"/>
                <w:u w:val="none"/>
              </w:rPr>
              <w:t>1.09 \times 10^{-8}</w:t>
            </w:r>
          </w:p>
        </w:tc>
        <w:tc>
          <w:tcPr>
            <w:tcW w:type="dxa" w:w="1040"/>
          </w:tcPr>
          <w:p>
            <w:r/>
            <w:r>
              <w:rPr>
                <w:b/>
                <w:i w:val="0"/>
                <w:u w:val="none"/>
              </w:rPr>
              <w:t>Sí (Altamente Significativo)</w:t>
            </w:r>
          </w:p>
        </w:tc>
      </w:tr>
    </w:tbl>
    <w:p/>
    <w:p>
      <w:pPr>
        <w:spacing w:before="60" w:after="60"/>
        <w:ind w:left="432"/>
      </w:pPr>
      <w:r>
        <w:rPr>
          <w:b w:val="0"/>
          <w:i/>
          <w:color w:val="505050"/>
          <w:u w:val="none"/>
        </w:rPr>
        <w:t xml:space="preserve">Tanto Votación Suave como STJC ganaron </w:t>
      </w:r>
      <w:r>
        <w:rPr>
          <w:b/>
          <w:i/>
          <w:color w:val="505050"/>
          <w:u w:val="none"/>
        </w:rPr>
        <w:t>16 de 16 comparaciones con significancia estadística formal ($p_{\text{holm}} &lt; 0.01$)</w:t>
      </w:r>
      <w:r>
        <w:rPr>
          <w:b w:val="0"/>
          <w:i/>
          <w:color w:val="505050"/>
          <w:u w:val="none"/>
        </w:rPr>
        <w:t>.</w:t>
      </w:r>
    </w:p>
    <w:p>
      <w:pPr>
        <w:pStyle w:val="Heading3"/>
        <w:spacing w:before="160" w:after="60"/>
      </w:pPr>
      <w:r>
        <w:t>3.2 Desempeño en la Prueba Operativa del Mundo Real (262 Días de 2026)</w:t>
      </w:r>
    </w:p>
    <w:p>
      <w:pPr>
        <w:spacing w:before="60" w:after="80"/>
      </w:pPr>
      <w:r>
        <w:rPr>
          <w:b w:val="0"/>
          <w:i w:val="0"/>
          <w:u w:val="none"/>
        </w:rPr>
        <w:t>Resultados sobre el año 2026 sellado fuera de muestra con el modelo en producción (</w:t>
      </w:r>
      <w:r>
        <w:rPr>
          <w:b/>
          <w:i w:val="0"/>
          <w:u w:val="none"/>
        </w:rPr>
        <w:t>Votación Suave</w:t>
      </w:r>
      <w:r>
        <w:rPr>
          <w:b w:val="0"/>
          <w:i w:val="0"/>
          <w:u w:val="none"/>
        </w:rPr>
        <w:t>, 1M filas, reentrenamiento trimestral):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Indicador Operativo</w:t>
            </w:r>
          </w:p>
        </w:tc>
        <w:tc>
          <w:tcPr>
            <w:tcW w:type="dxa" w:w="312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Valor Registrado</w:t>
            </w:r>
          </w:p>
        </w:tc>
        <w:tc>
          <w:tcPr>
            <w:tcW w:type="dxa" w:w="312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Significado para la Fiscalización de Osinergmin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Días Operativos Evaluados</w:t>
            </w:r>
          </w:p>
        </w:tc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262 días continuos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  <w:u w:val="none"/>
              </w:rPr>
              <w:t>Cobertura integral de enero a septiembre de 2026.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Establecimientos Evaluados Diariamente</w:t>
            </w:r>
          </w:p>
        </w:tc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17,863 a 19,975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  <w:u w:val="none"/>
              </w:rPr>
              <w:t>Promedio de 19,292 casos activos por día.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Total Visitas Simuladas en el Top 100</w:t>
            </w:r>
          </w:p>
        </w:tc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26,200 inspecciones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  <w:u w:val="none"/>
              </w:rPr>
              <w:t>100 visitas programadas por el modelo cada día.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Total Visitas con Cambio Real Confirmado</w:t>
            </w:r>
          </w:p>
        </w:tc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&lt;u&gt;20,539 aciertos&lt;/u&gt;</w:t>
            </w:r>
          </w:p>
        </w:tc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78.39% de precisión real en campo</w:t>
            </w:r>
            <w:r>
              <w:rPr>
                <w:b w:val="0"/>
                <w:i w:val="0"/>
                <w:u w:val="none"/>
              </w:rPr>
              <w:t>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Mes con Mayor Precisión (Julio 2026)</w:t>
            </w:r>
          </w:p>
        </w:tc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&lt;u&gt;93.00%&lt;/u&gt; en $p@100$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  <w:u w:val="none"/>
              </w:rPr>
              <w:t>93 de cada 100 locales fiscalizados cambiaron de precio.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AUC Diario Medio del Modelo</w:t>
            </w:r>
          </w:p>
        </w:tc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&lt;u&gt;0.7459&lt;/u&gt;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  <w:u w:val="none"/>
              </w:rPr>
              <w:t>Capacidad discriminante superior en todo el país.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AUC Diario de la Regla Heurística (`n_cambios_28`)</w:t>
            </w:r>
          </w:p>
        </w:tc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0.7044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  <w:u w:val="none"/>
              </w:rPr>
              <w:t>La heurística de conteo se degrada en el ordenamiento global.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Días en que el Modelo Derrota a la Regla</w:t>
            </w:r>
          </w:p>
        </w:tc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&lt;u&gt;88.2% de los días&lt;/u&gt;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  <w:u w:val="none"/>
              </w:rPr>
              <w:t>El modelo gana en 231 de los 262 días evaluados.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Prueba de Wilcoxon Pareada Día a Día</w:t>
            </w:r>
          </w:p>
        </w:tc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$p = 4.89 \times 10^{-35}$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  <w:u w:val="none"/>
              </w:rPr>
              <w:t>Superioridad estadística aplastante del modelo sobre la regla.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Trazabilidad Física al SCOP</w:t>
            </w:r>
          </w:p>
        </w:tc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&lt;u&gt;100.0%&lt;/u&gt;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  <w:u w:val="none"/>
              </w:rPr>
              <w:t>El 100% de los 20,539 aciertos fue verificado en el reporte oficial.</w:t>
            </w:r>
          </w:p>
        </w:tc>
      </w:tr>
    </w:tbl>
    <w:p/>
    <w:p>
      <w:pPr>
        <w:pStyle w:val="Heading3"/>
        <w:spacing w:before="160" w:after="60"/>
      </w:pPr>
      <w:r>
        <w:t>3.3 Generalización en Establecimientos "Nunca Vistos" (Prueba Ciega)</w:t>
      </w:r>
    </w:p>
    <w:p>
      <w:pPr>
        <w:spacing w:before="60" w:after="80"/>
      </w:pPr>
      <w:r>
        <w:rPr>
          <w:b w:val="0"/>
          <w:i w:val="0"/>
          <w:u w:val="none"/>
        </w:rPr>
        <w:t xml:space="preserve">Evaluación sobre el </w:t>
      </w:r>
      <w:r>
        <w:rPr>
          <w:b/>
          <w:i w:val="0"/>
          <w:u w:val="none"/>
        </w:rPr>
        <w:t>30% de los establecimientos del país (7,431 locales)</w:t>
      </w:r>
      <w:r>
        <w:rPr>
          <w:b w:val="0"/>
          <w:i w:val="0"/>
          <w:u w:val="none"/>
        </w:rPr>
        <w:t xml:space="preserve"> apartados al azar antes de iniciar el estudio que jamás participaron en ningún entrenamiento: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Subconjunto Evaluado en 2026</w:t>
            </w:r>
          </w:p>
        </w:tc>
        <w:tc>
          <w:tcPr>
            <w:tcW w:type="dxa" w:w="234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AUC Promedio (9 meses)</w:t>
            </w:r>
          </w:p>
        </w:tc>
        <w:tc>
          <w:tcPr>
            <w:tcW w:type="dxa" w:w="234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Precisión@100 Promedio</w:t>
            </w:r>
          </w:p>
        </w:tc>
        <w:tc>
          <w:tcPr>
            <w:tcW w:type="dxa" w:w="234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AUC en Mes Pico (Julio 2026)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i w:val="0"/>
                <w:u w:val="none"/>
              </w:rPr>
              <w:t>Establecimientos Conocidos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  <w:u w:val="none"/>
              </w:rPr>
              <w:t>0.7426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  <w:u w:val="none"/>
              </w:rPr>
              <w:t>76.81%</w:t>
            </w:r>
          </w:p>
        </w:tc>
        <w:tc>
          <w:tcPr>
            <w:tcW w:type="dxa" w:w="2340"/>
          </w:tcPr>
          <w:p>
            <w:r/>
            <w:r>
              <w:rPr>
                <w:b/>
                <w:i w:val="0"/>
                <w:u w:val="single"/>
              </w:rPr>
              <w:t>0.8035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i w:val="0"/>
                <w:u w:val="none"/>
              </w:rPr>
              <w:t>Establecimientos Nunca Vistos (Holdout Puro)</w:t>
            </w:r>
          </w:p>
        </w:tc>
        <w:tc>
          <w:tcPr>
            <w:tcW w:type="dxa" w:w="2340"/>
          </w:tcPr>
          <w:p>
            <w:r/>
            <w:r>
              <w:rPr>
                <w:b/>
                <w:i w:val="0"/>
                <w:u w:val="single"/>
              </w:rPr>
              <w:t>0.7439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  <w:u w:val="none"/>
              </w:rPr>
              <w:t>74.35%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  <w:u w:val="none"/>
              </w:rPr>
              <w:t>0.8017</w:t>
            </w:r>
          </w:p>
        </w:tc>
      </w:tr>
    </w:tbl>
    <w:p/>
    <w:p>
      <w:pPr>
        <w:spacing w:before="60" w:after="60"/>
        <w:ind w:left="432"/>
      </w:pPr>
      <w:r>
        <w:rPr>
          <w:b/>
          <w:i/>
          <w:color w:val="505050"/>
          <w:u w:val="none"/>
        </w:rPr>
        <w:t>Conclusión Científica:</w:t>
      </w:r>
      <w:r>
        <w:rPr>
          <w:b w:val="0"/>
          <w:i/>
          <w:color w:val="505050"/>
          <w:u w:val="none"/>
        </w:rPr>
        <w:t xml:space="preserve"> El modelo no memorizó nombres comerciales ni ubicaciones fijas; aprendió dinámicas estructurales de mercado que generalizan perfectamente a establecimientos desconocidos.</w:t>
      </w:r>
    </w:p>
    <w:p>
      <w:pPr>
        <w:pStyle w:val="Heading3"/>
        <w:spacing w:before="160" w:after="60"/>
      </w:pPr>
      <w:r>
        <w:t>3.4 Robustez Frente a Horizontes de Supervisión (3, 5 y 7 Días)</w:t>
      </w:r>
    </w:p>
    <w:p>
      <w:pPr>
        <w:spacing w:before="60" w:after="80"/>
      </w:pPr>
      <w:r>
        <w:rPr>
          <w:b w:val="0"/>
          <w:i w:val="0"/>
          <w:u w:val="none"/>
        </w:rPr>
        <w:t>Evaluación en la Sección 18.1 para verificar la flexibilidad logística del modelo: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Horizonte Evaluado</w:t>
            </w:r>
          </w:p>
        </w:tc>
        <w:tc>
          <w:tcPr>
            <w:tcW w:type="dxa" w:w="312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Ventaja Media de AUC vs. Regla 28</w:t>
            </w:r>
          </w:p>
        </w:tc>
        <w:tc>
          <w:tcPr>
            <w:tcW w:type="dxa" w:w="3120"/>
            <w:shd w:val="clear" w:color="auto" w:fill="EAECEE"/>
          </w:tcPr>
          <w:p>
            <w:r/>
            <w:r>
              <w:rPr>
                <w:b/>
                <w:i w:val="0"/>
                <w:u w:val="none"/>
              </w:rPr>
              <w:t>Meses en que Gana el Modelo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3 Días</w:t>
            </w:r>
            <w:r>
              <w:rPr>
                <w:b w:val="0"/>
                <w:i w:val="0"/>
                <w:u w:val="none"/>
              </w:rPr>
              <w:t xml:space="preserve"> (Inspección Rápida)</w:t>
            </w:r>
          </w:p>
        </w:tc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+0.0671 de AUC</w:t>
            </w:r>
          </w:p>
        </w:tc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9 de 9 meses (100%)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5 Días</w:t>
            </w:r>
            <w:r>
              <w:rPr>
                <w:b w:val="0"/>
                <w:i w:val="0"/>
                <w:u w:val="none"/>
              </w:rPr>
              <w:t xml:space="preserve"> (Semana Laboral Estándar)</w:t>
            </w:r>
          </w:p>
        </w:tc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+0.0494 de AUC</w:t>
            </w:r>
          </w:p>
        </w:tc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9 de 9 meses (100%)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7 Días</w:t>
            </w:r>
            <w:r>
              <w:rPr>
                <w:b w:val="0"/>
                <w:i w:val="0"/>
                <w:u w:val="none"/>
              </w:rPr>
              <w:t xml:space="preserve"> (Ciclo Semanal Extendido)</w:t>
            </w:r>
          </w:p>
        </w:tc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+0.0435 de AUC</w:t>
            </w:r>
          </w:p>
        </w:tc>
        <w:tc>
          <w:tcPr>
            <w:tcW w:type="dxa" w:w="3120"/>
          </w:tcPr>
          <w:p>
            <w:r/>
            <w:r>
              <w:rPr>
                <w:b/>
                <w:i w:val="0"/>
                <w:u w:val="none"/>
              </w:rPr>
              <w:t>9 de 9 meses (100%)</w:t>
            </w:r>
          </w:p>
        </w:tc>
      </w:tr>
    </w:tbl>
    <w:p/>
    <w:p>
      <w:pPr>
        <w:spacing w:before="60" w:after="80"/>
      </w:pPr>
      <w:r>
        <w:rPr>
          <w:b w:val="0"/>
          <w:i/>
          <w:u w:val="none"/>
        </w:rPr>
        <w:t>Compendio oficial generado y verificado a partir de los registros maestros de `salidas_v6/` de la tesis.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