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4E469" w14:textId="77777777" w:rsidR="00366CA2" w:rsidRPr="0018251A" w:rsidRDefault="00366CA2" w:rsidP="00984CDA">
      <w:pPr>
        <w:spacing w:before="480" w:after="240"/>
        <w:jc w:val="center"/>
        <w:rPr>
          <w:b/>
          <w:sz w:val="28"/>
          <w:szCs w:val="24"/>
          <w:lang w:val="en-GB" w:eastAsia="it-IT"/>
        </w:rPr>
      </w:pPr>
      <w:r w:rsidRPr="0018251A">
        <w:rPr>
          <w:b/>
          <w:sz w:val="28"/>
          <w:szCs w:val="24"/>
          <w:lang w:val="en-GB" w:eastAsia="it-IT"/>
        </w:rPr>
        <w:t>Environmental Challenges of Textile Wastewater in Bangladesh and Pathways to Sustainable Solutions</w:t>
      </w:r>
    </w:p>
    <w:p w14:paraId="46CACD30" w14:textId="2FA4BC1D" w:rsidR="00366CA2" w:rsidRPr="0018251A" w:rsidRDefault="00366CA2" w:rsidP="00366CA2">
      <w:pPr>
        <w:pStyle w:val="NoSpacing"/>
        <w:jc w:val="center"/>
        <w:rPr>
          <w:rFonts w:ascii="Times New Roman" w:hAnsi="Times New Roman" w:cs="Times New Roman"/>
          <w:b/>
          <w:sz w:val="24"/>
          <w:szCs w:val="24"/>
          <w:vertAlign w:val="superscript"/>
        </w:rPr>
      </w:pPr>
      <w:r w:rsidRPr="0018251A">
        <w:rPr>
          <w:rFonts w:ascii="Times New Roman" w:hAnsi="Times New Roman" w:cs="Times New Roman"/>
          <w:b/>
          <w:sz w:val="24"/>
          <w:szCs w:val="24"/>
        </w:rPr>
        <w:t>Ferdus Hossain</w:t>
      </w:r>
      <w:r w:rsidRPr="0018251A">
        <w:rPr>
          <w:rFonts w:ascii="Times New Roman" w:hAnsi="Times New Roman" w:cs="Times New Roman"/>
          <w:b/>
          <w:sz w:val="24"/>
          <w:szCs w:val="24"/>
          <w:vertAlign w:val="superscript"/>
        </w:rPr>
        <w:t>1</w:t>
      </w:r>
      <w:r w:rsidRPr="0018251A">
        <w:rPr>
          <w:rFonts w:ascii="Times New Roman" w:hAnsi="Times New Roman" w:cs="Times New Roman"/>
          <w:b/>
          <w:sz w:val="24"/>
          <w:szCs w:val="24"/>
        </w:rPr>
        <w:t>, Saikot Hossain</w:t>
      </w:r>
      <w:r w:rsidRPr="0018251A">
        <w:rPr>
          <w:rFonts w:ascii="Times New Roman" w:hAnsi="Times New Roman" w:cs="Times New Roman"/>
          <w:b/>
          <w:sz w:val="24"/>
          <w:szCs w:val="24"/>
          <w:vertAlign w:val="superscript"/>
        </w:rPr>
        <w:t>1</w:t>
      </w:r>
      <w:r w:rsidRPr="0018251A">
        <w:rPr>
          <w:rFonts w:ascii="Times New Roman" w:hAnsi="Times New Roman" w:cs="Times New Roman"/>
          <w:b/>
          <w:bCs/>
          <w:sz w:val="24"/>
          <w:szCs w:val="24"/>
        </w:rPr>
        <w:t xml:space="preserve">, </w:t>
      </w:r>
      <w:r w:rsidRPr="0018251A">
        <w:rPr>
          <w:rStyle w:val="normaltextrun"/>
          <w:rFonts w:ascii="Times New Roman" w:hAnsi="Times New Roman" w:cs="Times New Roman"/>
          <w:b/>
          <w:bCs/>
          <w:color w:val="000000"/>
          <w:sz w:val="24"/>
          <w:szCs w:val="24"/>
          <w:shd w:val="clear" w:color="auto" w:fill="FFFFFF"/>
        </w:rPr>
        <w:t>Mishkatul Hoque Meela</w:t>
      </w:r>
      <w:r w:rsidRPr="0018251A">
        <w:rPr>
          <w:rFonts w:ascii="Times New Roman" w:hAnsi="Times New Roman" w:cs="Times New Roman"/>
          <w:b/>
          <w:sz w:val="24"/>
          <w:szCs w:val="24"/>
          <w:vertAlign w:val="superscript"/>
        </w:rPr>
        <w:t>1</w:t>
      </w:r>
      <w:r w:rsidRPr="0018251A">
        <w:rPr>
          <w:rFonts w:ascii="Times New Roman" w:hAnsi="Times New Roman" w:cs="Times New Roman"/>
          <w:b/>
          <w:bCs/>
          <w:sz w:val="24"/>
          <w:szCs w:val="24"/>
        </w:rPr>
        <w:t xml:space="preserve">, </w:t>
      </w:r>
      <w:r w:rsidRPr="0018251A">
        <w:rPr>
          <w:rStyle w:val="normaltextrun"/>
          <w:rFonts w:ascii="Times New Roman" w:hAnsi="Times New Roman" w:cs="Times New Roman"/>
          <w:b/>
          <w:bCs/>
          <w:color w:val="000000"/>
          <w:sz w:val="24"/>
          <w:szCs w:val="24"/>
          <w:shd w:val="clear" w:color="auto" w:fill="FFFFFF"/>
        </w:rPr>
        <w:t>K. M. Maruf Hossain</w:t>
      </w:r>
      <w:r w:rsidRPr="0018251A">
        <w:rPr>
          <w:rStyle w:val="normaltextrun"/>
          <w:rFonts w:ascii="Times New Roman" w:hAnsi="Times New Roman" w:cs="Times New Roman"/>
          <w:b/>
          <w:bCs/>
          <w:color w:val="000000"/>
          <w:sz w:val="24"/>
          <w:szCs w:val="24"/>
          <w:shd w:val="clear" w:color="auto" w:fill="FFFFFF"/>
          <w:vertAlign w:val="superscript"/>
        </w:rPr>
        <w:t>1</w:t>
      </w:r>
      <w:r w:rsidRPr="0018251A">
        <w:rPr>
          <w:rFonts w:ascii="Times New Roman" w:hAnsi="Times New Roman" w:cs="Times New Roman"/>
          <w:b/>
          <w:bCs/>
          <w:sz w:val="24"/>
          <w:szCs w:val="24"/>
        </w:rPr>
        <w:t xml:space="preserve">, </w:t>
      </w:r>
      <w:r w:rsidR="007767FA" w:rsidRPr="0018251A">
        <w:rPr>
          <w:rFonts w:ascii="Times New Roman" w:hAnsi="Times New Roman" w:cs="Times New Roman"/>
          <w:b/>
          <w:sz w:val="24"/>
          <w:szCs w:val="24"/>
        </w:rPr>
        <w:t>Jannatul Fardus*</w:t>
      </w:r>
      <w:r w:rsidR="007767FA" w:rsidRPr="0018251A">
        <w:rPr>
          <w:rFonts w:ascii="Times New Roman" w:hAnsi="Times New Roman" w:cs="Times New Roman"/>
          <w:b/>
          <w:sz w:val="24"/>
          <w:szCs w:val="24"/>
          <w:vertAlign w:val="superscript"/>
        </w:rPr>
        <w:t>1</w:t>
      </w:r>
      <w:r w:rsidR="007767FA" w:rsidRPr="0018251A">
        <w:rPr>
          <w:rFonts w:ascii="Times New Roman" w:hAnsi="Times New Roman" w:cs="Times New Roman"/>
          <w:b/>
          <w:bCs/>
          <w:sz w:val="24"/>
          <w:szCs w:val="24"/>
        </w:rPr>
        <w:t xml:space="preserve">, Md. </w:t>
      </w:r>
      <w:r w:rsidRPr="0018251A">
        <w:rPr>
          <w:rFonts w:ascii="Times New Roman" w:hAnsi="Times New Roman" w:cs="Times New Roman"/>
          <w:b/>
          <w:sz w:val="24"/>
          <w:szCs w:val="24"/>
        </w:rPr>
        <w:t>Mahbubor Rahman</w:t>
      </w:r>
      <w:r w:rsidRPr="0018251A">
        <w:rPr>
          <w:rFonts w:ascii="Times New Roman" w:hAnsi="Times New Roman" w:cs="Times New Roman"/>
          <w:b/>
          <w:sz w:val="24"/>
          <w:szCs w:val="24"/>
          <w:vertAlign w:val="superscript"/>
        </w:rPr>
        <w:t>2</w:t>
      </w:r>
      <w:r w:rsidRPr="0018251A">
        <w:rPr>
          <w:rFonts w:ascii="Times New Roman" w:hAnsi="Times New Roman" w:cs="Times New Roman"/>
          <w:b/>
          <w:sz w:val="24"/>
          <w:szCs w:val="24"/>
        </w:rPr>
        <w:t xml:space="preserve"> </w:t>
      </w:r>
    </w:p>
    <w:p w14:paraId="26F50DD2" w14:textId="77777777" w:rsidR="00366CA2" w:rsidRPr="0018251A" w:rsidRDefault="00366CA2" w:rsidP="00366CA2">
      <w:pPr>
        <w:pStyle w:val="NoSpacing"/>
        <w:rPr>
          <w:rFonts w:ascii="Times New Roman" w:hAnsi="Times New Roman" w:cs="Times New Roman"/>
          <w:b/>
          <w:sz w:val="24"/>
          <w:szCs w:val="24"/>
          <w:vertAlign w:val="superscript"/>
        </w:rPr>
      </w:pPr>
    </w:p>
    <w:p w14:paraId="71F97022" w14:textId="312132ED" w:rsidR="00366CA2" w:rsidRPr="0018251A" w:rsidRDefault="00366CA2" w:rsidP="00366CA2">
      <w:pPr>
        <w:jc w:val="center"/>
        <w:rPr>
          <w:sz w:val="24"/>
          <w:szCs w:val="24"/>
        </w:rPr>
      </w:pPr>
      <w:r w:rsidRPr="0018251A">
        <w:rPr>
          <w:sz w:val="24"/>
          <w:szCs w:val="24"/>
          <w:vertAlign w:val="superscript"/>
        </w:rPr>
        <w:t xml:space="preserve">1 </w:t>
      </w:r>
      <w:r w:rsidRPr="0018251A">
        <w:rPr>
          <w:sz w:val="24"/>
          <w:szCs w:val="24"/>
        </w:rPr>
        <w:t>American International University – Bangladesh, Bangladesh</w:t>
      </w:r>
    </w:p>
    <w:p w14:paraId="46762B08" w14:textId="50D4451F" w:rsidR="00366CA2" w:rsidRPr="0018251A" w:rsidRDefault="00366CA2" w:rsidP="00366CA2">
      <w:pPr>
        <w:jc w:val="center"/>
        <w:rPr>
          <w:i/>
          <w:color w:val="0033CC"/>
          <w:sz w:val="24"/>
          <w:szCs w:val="24"/>
          <w:u w:val="single"/>
          <w:lang w:eastAsia="ja-JP"/>
        </w:rPr>
      </w:pPr>
      <w:r w:rsidRPr="0018251A">
        <w:rPr>
          <w:sz w:val="24"/>
          <w:szCs w:val="24"/>
          <w:vertAlign w:val="superscript"/>
        </w:rPr>
        <w:t xml:space="preserve">2 </w:t>
      </w:r>
      <w:r w:rsidRPr="0018251A">
        <w:rPr>
          <w:sz w:val="24"/>
          <w:szCs w:val="24"/>
        </w:rPr>
        <w:t>Bangladesh University of Textiles,  Bangladesh</w:t>
      </w:r>
    </w:p>
    <w:p w14:paraId="59C96BC7" w14:textId="52E71CB8" w:rsidR="00F17C9D" w:rsidRPr="0018251A" w:rsidRDefault="001449E9" w:rsidP="001449E9">
      <w:pPr>
        <w:spacing w:before="120"/>
        <w:jc w:val="center"/>
        <w:rPr>
          <w:b/>
          <w:sz w:val="24"/>
          <w:szCs w:val="24"/>
          <w:lang w:eastAsia="ja-JP"/>
        </w:rPr>
      </w:pPr>
      <w:r w:rsidRPr="0018251A">
        <w:rPr>
          <w:b/>
          <w:sz w:val="24"/>
          <w:szCs w:val="24"/>
          <w:lang w:eastAsia="ja-JP"/>
        </w:rPr>
        <w:t>*Corresponding Author Email:</w:t>
      </w:r>
      <w:r w:rsidR="00366CA2" w:rsidRPr="0018251A">
        <w:rPr>
          <w:sz w:val="24"/>
          <w:szCs w:val="24"/>
        </w:rPr>
        <w:t xml:space="preserve"> jannatul@aiub.edu</w:t>
      </w:r>
    </w:p>
    <w:p w14:paraId="1F389A7F" w14:textId="77777777" w:rsidR="001509C2" w:rsidRPr="0018251A" w:rsidRDefault="007F1959" w:rsidP="007F1959">
      <w:pPr>
        <w:pStyle w:val="ABSTRACTHEADING"/>
        <w:rPr>
          <w:szCs w:val="24"/>
        </w:rPr>
      </w:pPr>
      <w:r w:rsidRPr="0018251A">
        <w:rPr>
          <w:szCs w:val="24"/>
        </w:rPr>
        <w:t>Abstract</w:t>
      </w:r>
    </w:p>
    <w:p w14:paraId="3E6806A6" w14:textId="5EBE94EF" w:rsidR="00366CA2" w:rsidRPr="0018251A" w:rsidRDefault="00366CA2" w:rsidP="007767FA">
      <w:pPr>
        <w:spacing w:line="360" w:lineRule="auto"/>
        <w:jc w:val="both"/>
        <w:rPr>
          <w:rFonts w:eastAsia="Aptos"/>
          <w:bCs/>
          <w:color w:val="000000"/>
          <w:sz w:val="24"/>
          <w:szCs w:val="24"/>
        </w:rPr>
      </w:pPr>
      <w:r w:rsidRPr="0018251A">
        <w:rPr>
          <w:bCs/>
          <w:spacing w:val="-3"/>
          <w:sz w:val="24"/>
          <w:szCs w:val="24"/>
        </w:rPr>
        <w:t>Bangladesh’s economy, heavily reliant on its textile industry, faces escalating environmental challenges from untreated wastewater discharge. This study examines occupational and demographic disparities in environmental accountability, awareness, and adoption of sustainable technologies like Zero Liquid Discharge (ZLD). A structured survey among industrial personnel, academicians, and researchers was analyzed using Chi-Square tests and binary logistic regression. Key findings reveal a significant association between occupational hierarchy and environmental awareness, with senior roles demonstrating greater familiarity with ZLD (χ² = 12.506, p = 0.006) and pollution impacts (χ² = 49.780, p &lt; 0.001). Binary regression identified environmental concern as the strongest predictor of willingness to pay more for eco-friendly textiles (OR = 13.919, p &lt; 0.001), while ZLD familiarity strongly correlated with support for industry accountability (OR = 11.871, p &lt; 0.001). Despite 74.1% of respondents prioritizing sustainability as “very important,” institutional inertia among industrialists (OR = 0.037, p &lt; 0.001) and age-related disparities in pollution awareness (OR = 14.62–71.68, p &lt; 0.001) highlight systemic barriers. The study advocates for stricter enforcement of wastewater regulations and subsidized ZLD adoption to bridge gaps between policy aspirations and ground-level implementation. These findings emphasize the urgent need for multi-stakeholder collaboration to align Bangladesh’s textile growth with sustainable development goals.</w:t>
      </w:r>
    </w:p>
    <w:p w14:paraId="453AB91A" w14:textId="77777777" w:rsidR="003204B6" w:rsidRPr="0018251A" w:rsidRDefault="003204B6" w:rsidP="007767FA">
      <w:pPr>
        <w:pStyle w:val="Abstracttext"/>
        <w:spacing w:line="360" w:lineRule="auto"/>
        <w:rPr>
          <w:i w:val="0"/>
          <w:sz w:val="24"/>
        </w:rPr>
      </w:pPr>
    </w:p>
    <w:p w14:paraId="2F201EAF" w14:textId="77777777" w:rsidR="00AB2374" w:rsidRPr="0018251A" w:rsidRDefault="00AB2374" w:rsidP="007767FA">
      <w:pPr>
        <w:pStyle w:val="Textbloc"/>
        <w:spacing w:line="360" w:lineRule="auto"/>
        <w:rPr>
          <w:rFonts w:ascii="Times New Roman" w:hAnsi="Times New Roman"/>
          <w:sz w:val="24"/>
          <w:lang w:val="ro-RO"/>
        </w:rPr>
      </w:pPr>
    </w:p>
    <w:p w14:paraId="23AE4CC6" w14:textId="77777777" w:rsidR="0070228B" w:rsidRPr="0018251A" w:rsidRDefault="001509C2" w:rsidP="000F6770">
      <w:pPr>
        <w:pStyle w:val="Keywords"/>
        <w:spacing w:line="360" w:lineRule="auto"/>
        <w:jc w:val="both"/>
        <w:rPr>
          <w:rStyle w:val="StilKeywords12pctCursivCaracter"/>
          <w:rFonts w:ascii="Times New Roman" w:hAnsi="Times New Roman"/>
          <w:sz w:val="24"/>
          <w:szCs w:val="24"/>
        </w:rPr>
      </w:pPr>
      <w:r w:rsidRPr="0018251A">
        <w:rPr>
          <w:rStyle w:val="StyleStilKeywords12pctCursivBoldChar"/>
          <w:rFonts w:ascii="Times New Roman" w:hAnsi="Times New Roman"/>
          <w:i/>
          <w:sz w:val="24"/>
          <w:szCs w:val="24"/>
        </w:rPr>
        <w:t>Keywords:</w:t>
      </w:r>
      <w:r w:rsidRPr="0018251A">
        <w:rPr>
          <w:rFonts w:ascii="Times New Roman" w:hAnsi="Times New Roman"/>
          <w:i/>
          <w:sz w:val="24"/>
          <w:szCs w:val="24"/>
        </w:rPr>
        <w:t xml:space="preserve"> </w:t>
      </w:r>
      <w:r w:rsidR="0070228B" w:rsidRPr="0018251A">
        <w:rPr>
          <w:rStyle w:val="StilKeywords12pctCursivCaracter"/>
          <w:rFonts w:ascii="Times New Roman" w:hAnsi="Times New Roman"/>
          <w:sz w:val="24"/>
          <w:szCs w:val="24"/>
        </w:rPr>
        <w:t>Environmental challenges, Textile industry, Wastewater pollution, Sustainable solutions, Stricter regulations.</w:t>
      </w:r>
    </w:p>
    <w:p w14:paraId="789EE9D0" w14:textId="77777777" w:rsidR="0070228B" w:rsidRPr="0018251A" w:rsidRDefault="0070228B" w:rsidP="0070228B">
      <w:pPr>
        <w:pStyle w:val="Keywords"/>
        <w:rPr>
          <w:rStyle w:val="StilKeywords12pctCursivCaracter"/>
          <w:rFonts w:ascii="Times New Roman" w:hAnsi="Times New Roman"/>
          <w:sz w:val="24"/>
          <w:szCs w:val="24"/>
        </w:rPr>
      </w:pPr>
    </w:p>
    <w:p w14:paraId="6719C40F" w14:textId="77777777" w:rsidR="0070228B" w:rsidRPr="0018251A" w:rsidRDefault="0070228B" w:rsidP="0070228B">
      <w:pPr>
        <w:pStyle w:val="Keywords"/>
        <w:rPr>
          <w:rStyle w:val="StilKeywords12pctCursivCaracter"/>
          <w:rFonts w:ascii="Times New Roman" w:hAnsi="Times New Roman"/>
          <w:sz w:val="24"/>
          <w:szCs w:val="24"/>
        </w:rPr>
      </w:pPr>
    </w:p>
    <w:p w14:paraId="676BC5AD" w14:textId="77777777" w:rsidR="0070228B" w:rsidRPr="0018251A" w:rsidRDefault="0070228B" w:rsidP="0070228B">
      <w:pPr>
        <w:pStyle w:val="Keywords"/>
        <w:rPr>
          <w:rStyle w:val="StilKeywords12pctCursivCaracter"/>
          <w:rFonts w:ascii="Times New Roman" w:hAnsi="Times New Roman"/>
          <w:sz w:val="24"/>
          <w:szCs w:val="24"/>
        </w:rPr>
      </w:pPr>
    </w:p>
    <w:p w14:paraId="7A229BEC" w14:textId="77777777" w:rsidR="0070228B" w:rsidRPr="0018251A" w:rsidRDefault="0070228B" w:rsidP="0070228B">
      <w:pPr>
        <w:pStyle w:val="Keywords"/>
        <w:rPr>
          <w:rStyle w:val="StilKeywords12pctCursivCaracter"/>
          <w:rFonts w:ascii="Times New Roman" w:hAnsi="Times New Roman"/>
          <w:sz w:val="24"/>
          <w:szCs w:val="24"/>
        </w:rPr>
      </w:pPr>
    </w:p>
    <w:p w14:paraId="5DC605F2" w14:textId="7216C320" w:rsidR="001509C2" w:rsidRPr="0018251A" w:rsidRDefault="00B07F0B" w:rsidP="00B07F0B">
      <w:pPr>
        <w:pStyle w:val="Keywords"/>
        <w:rPr>
          <w:rFonts w:ascii="Times New Roman" w:hAnsi="Times New Roman"/>
          <w:b/>
          <w:bCs/>
          <w:sz w:val="24"/>
          <w:szCs w:val="24"/>
        </w:rPr>
      </w:pPr>
      <w:r w:rsidRPr="0018251A">
        <w:rPr>
          <w:rFonts w:ascii="Times New Roman" w:hAnsi="Times New Roman"/>
          <w:b/>
          <w:bCs/>
          <w:sz w:val="24"/>
          <w:szCs w:val="24"/>
        </w:rPr>
        <w:lastRenderedPageBreak/>
        <w:t xml:space="preserve">1. </w:t>
      </w:r>
      <w:r w:rsidR="00D55D01" w:rsidRPr="0018251A">
        <w:rPr>
          <w:rFonts w:ascii="Times New Roman" w:hAnsi="Times New Roman"/>
          <w:b/>
          <w:bCs/>
          <w:sz w:val="24"/>
          <w:szCs w:val="24"/>
        </w:rPr>
        <w:t>Introduction</w:t>
      </w:r>
    </w:p>
    <w:p w14:paraId="5729468B" w14:textId="77777777" w:rsidR="009E074E" w:rsidRPr="0018251A" w:rsidRDefault="009E074E" w:rsidP="0070228B">
      <w:pPr>
        <w:pStyle w:val="Keywords"/>
        <w:rPr>
          <w:rFonts w:ascii="Times New Roman" w:hAnsi="Times New Roman"/>
          <w:b/>
          <w:bCs/>
          <w:sz w:val="24"/>
          <w:szCs w:val="24"/>
        </w:rPr>
      </w:pPr>
    </w:p>
    <w:p w14:paraId="68AB7E8C" w14:textId="443AD268" w:rsidR="009E074E" w:rsidRPr="0018251A" w:rsidRDefault="00FA254A" w:rsidP="000F6770">
      <w:pPr>
        <w:pStyle w:val="Keywords"/>
        <w:spacing w:line="360" w:lineRule="auto"/>
        <w:jc w:val="both"/>
        <w:rPr>
          <w:rFonts w:ascii="Times New Roman" w:hAnsi="Times New Roman"/>
          <w:sz w:val="24"/>
          <w:szCs w:val="24"/>
        </w:rPr>
      </w:pPr>
      <w:r w:rsidRPr="0018251A">
        <w:rPr>
          <w:rFonts w:ascii="Times New Roman" w:hAnsi="Times New Roman"/>
          <w:sz w:val="24"/>
          <w:szCs w:val="24"/>
        </w:rPr>
        <w:t>The textile</w:t>
      </w:r>
      <w:r w:rsidR="009E074E" w:rsidRPr="0018251A">
        <w:rPr>
          <w:rFonts w:ascii="Times New Roman" w:hAnsi="Times New Roman"/>
          <w:sz w:val="24"/>
          <w:szCs w:val="24"/>
        </w:rPr>
        <w:t xml:space="preserve"> industries are the pillar of Bangladesh's economy. But it is still lagging in the fourth industrial revolution due to their lack of interest in implementing environmentally friendly production methods, which have a significant negative impact on the environment. Discharging untreated wastewater into rivers will have a severe long-term impact on living beings. Because the textile sector in Bangladesh contributes significantly to environmental deterioration and water pollution, water treatment is crucial. Bangladesh, one of the major producers of textiles, produces enormous volumes of wastewater that are frequently dumped untreated into rivers</w:t>
      </w:r>
      <w:r w:rsidRPr="0018251A">
        <w:rPr>
          <w:rFonts w:ascii="Times New Roman" w:hAnsi="Times New Roman"/>
          <w:sz w:val="24"/>
          <w:szCs w:val="24"/>
        </w:rPr>
        <w:t>,</w:t>
      </w:r>
      <w:r w:rsidR="009E074E" w:rsidRPr="0018251A">
        <w:rPr>
          <w:rFonts w:ascii="Times New Roman" w:hAnsi="Times New Roman"/>
          <w:sz w:val="24"/>
          <w:szCs w:val="24"/>
        </w:rPr>
        <w:t xml:space="preserve"> including the Buriganga, Turag, and Shitalakhya. This wastewater contains chemicals, dyes, and heavy metals. In addition to harming aquatic life, this pollution contaminates drinking and irrigation water, causing serious health hazards such </w:t>
      </w:r>
      <w:r w:rsidRPr="0018251A">
        <w:rPr>
          <w:rFonts w:ascii="Times New Roman" w:hAnsi="Times New Roman"/>
          <w:sz w:val="24"/>
          <w:szCs w:val="24"/>
        </w:rPr>
        <w:t xml:space="preserve">as </w:t>
      </w:r>
      <w:r w:rsidR="009E074E" w:rsidRPr="0018251A">
        <w:rPr>
          <w:rFonts w:ascii="Times New Roman" w:hAnsi="Times New Roman"/>
          <w:sz w:val="24"/>
          <w:szCs w:val="24"/>
        </w:rPr>
        <w:t>respiratory disorders, skin conditions, and waterborne illnesses. A lot of factories use excessive amounts of groundwater, which causes depletion and raises the possibility of water. This study aims to find targeted strategies for reducing environmental harm while ensuring the industry’s long-term viability by analyzing survey responses and examining the interplay between occupational roles, awareness of wastewater impacts, and support for sustainable solutions like ZLD.</w:t>
      </w:r>
    </w:p>
    <w:p w14:paraId="1E3DC655" w14:textId="77777777" w:rsidR="009E074E" w:rsidRPr="0018251A" w:rsidRDefault="009E074E" w:rsidP="000F6770">
      <w:pPr>
        <w:pStyle w:val="Keywords"/>
        <w:spacing w:line="360" w:lineRule="auto"/>
        <w:jc w:val="both"/>
        <w:rPr>
          <w:rFonts w:ascii="Times New Roman" w:hAnsi="Times New Roman"/>
          <w:sz w:val="24"/>
          <w:szCs w:val="24"/>
        </w:rPr>
      </w:pPr>
    </w:p>
    <w:p w14:paraId="1D953635" w14:textId="57CBF16A" w:rsidR="00B07F0B" w:rsidRPr="0018251A" w:rsidRDefault="00B07F0B" w:rsidP="000F6770">
      <w:pPr>
        <w:pStyle w:val="Keywords"/>
        <w:spacing w:line="360" w:lineRule="auto"/>
        <w:jc w:val="both"/>
        <w:rPr>
          <w:rFonts w:ascii="Times New Roman" w:hAnsi="Times New Roman"/>
          <w:b/>
          <w:bCs/>
          <w:sz w:val="24"/>
          <w:szCs w:val="24"/>
        </w:rPr>
      </w:pPr>
      <w:r w:rsidRPr="0018251A">
        <w:rPr>
          <w:rFonts w:ascii="Times New Roman" w:hAnsi="Times New Roman"/>
          <w:b/>
          <w:bCs/>
          <w:sz w:val="24"/>
          <w:szCs w:val="24"/>
        </w:rPr>
        <w:t>2. Literature Review</w:t>
      </w:r>
    </w:p>
    <w:p w14:paraId="54ABB4CF" w14:textId="0D61131D" w:rsidR="00B07F0B" w:rsidRPr="0018251A" w:rsidRDefault="00B07F0B" w:rsidP="000F6770">
      <w:pPr>
        <w:pStyle w:val="Keywords"/>
        <w:spacing w:after="240" w:line="360" w:lineRule="auto"/>
        <w:jc w:val="both"/>
        <w:rPr>
          <w:rFonts w:ascii="Times New Roman" w:hAnsi="Times New Roman"/>
          <w:sz w:val="24"/>
          <w:szCs w:val="24"/>
        </w:rPr>
      </w:pPr>
      <w:r w:rsidRPr="0018251A">
        <w:rPr>
          <w:rFonts w:ascii="Times New Roman" w:hAnsi="Times New Roman"/>
          <w:sz w:val="24"/>
          <w:szCs w:val="24"/>
        </w:rPr>
        <w:t>Global purchasers are influencing the textile industry to implement environmentally friendly methods</w:t>
      </w:r>
      <w:r w:rsidR="00DD25EC" w:rsidRPr="0018251A">
        <w:rPr>
          <w:rFonts w:ascii="Times New Roman" w:hAnsi="Times New Roman"/>
          <w:sz w:val="24"/>
          <w:szCs w:val="24"/>
        </w:rPr>
        <w:t>, such as ZLD systems,</w:t>
      </w:r>
      <w:r w:rsidRPr="0018251A">
        <w:rPr>
          <w:rFonts w:ascii="Times New Roman" w:hAnsi="Times New Roman"/>
          <w:sz w:val="24"/>
          <w:szCs w:val="24"/>
        </w:rPr>
        <w:t xml:space="preserve"> to reduce pollution. For instance, firms with annual sales of $100 million or more are required to comply with climate targets and establish water and chemical management systems under California's proposed Fashion Environmental Accountability Act. Fines of up to 2% of yearly worldwide income could be imposed for noncompliance [1]. Even while some businesses have put wastewater treatment systems in place, many still don't meet environmental regulations because of financial and practical issues. The future of Bangladesh's textile industry depends on increased regulatory enforcement, investments in cutting-edge treatment technologies, and industry-wide dedication to sustainable water management.</w:t>
      </w:r>
    </w:p>
    <w:p w14:paraId="08B37256" w14:textId="2191E92E" w:rsidR="00B07F0B" w:rsidRPr="0018251A" w:rsidRDefault="00B07F0B" w:rsidP="000F6770">
      <w:pPr>
        <w:pStyle w:val="Keywords"/>
        <w:spacing w:after="240" w:line="360" w:lineRule="auto"/>
        <w:jc w:val="both"/>
        <w:rPr>
          <w:rFonts w:ascii="Times New Roman" w:hAnsi="Times New Roman"/>
          <w:sz w:val="24"/>
          <w:szCs w:val="24"/>
        </w:rPr>
      </w:pPr>
      <w:r w:rsidRPr="0018251A">
        <w:rPr>
          <w:rFonts w:ascii="Times New Roman" w:hAnsi="Times New Roman"/>
          <w:sz w:val="24"/>
          <w:szCs w:val="24"/>
        </w:rPr>
        <w:t>According to a study conducted by S.</w:t>
      </w:r>
      <w:r w:rsidR="00DD25EC" w:rsidRPr="0018251A">
        <w:rPr>
          <w:rFonts w:ascii="Times New Roman" w:hAnsi="Times New Roman"/>
          <w:sz w:val="24"/>
          <w:szCs w:val="24"/>
        </w:rPr>
        <w:t xml:space="preserve"> </w:t>
      </w:r>
      <w:r w:rsidRPr="0018251A">
        <w:rPr>
          <w:rFonts w:ascii="Times New Roman" w:hAnsi="Times New Roman"/>
          <w:sz w:val="24"/>
          <w:szCs w:val="24"/>
        </w:rPr>
        <w:t xml:space="preserve">Gita et al.  Bangladesh's untreated textile effluent has serious ecological effects, particularly for aquatic environments. According to their findings, the discharge of synthetic colors and heavy metals affects water quality and disturbs aquatic </w:t>
      </w:r>
      <w:r w:rsidRPr="0018251A">
        <w:rPr>
          <w:rFonts w:ascii="Times New Roman" w:hAnsi="Times New Roman"/>
          <w:sz w:val="24"/>
          <w:szCs w:val="24"/>
        </w:rPr>
        <w:lastRenderedPageBreak/>
        <w:t>biodiversity [2]. It is not only limited to that. Textile industries are leading contributors to soil pollution along with water, which causes serious risk for both living beings and environment [3]. Furthermore, the high chemical load in untreated effluents damages fisheries and upsets ecosystem equilibrium, which affects livelihoods that depend on these resources. Perfluorooctanoic acid (PFOA), pentachlorophenol, formaldehyde, phthalates, phenols, surfactants, and various heavy metals, including lead (Pb), cadmium (Cd), arsenic (As), chromium (Cr), zinc (Zn), and nickel (Ni), are among the persistent coloring pollutants (dyes) found in textile industry wastewater. It poses genotoxic, cytotoxic, carcinogenic, mutagenic, and allergic risks to living things [</w:t>
      </w:r>
      <w:r w:rsidR="0018251A" w:rsidRPr="0018251A">
        <w:rPr>
          <w:rFonts w:ascii="Times New Roman" w:hAnsi="Times New Roman"/>
          <w:sz w:val="24"/>
          <w:szCs w:val="24"/>
        </w:rPr>
        <w:t>4</w:t>
      </w:r>
      <w:r w:rsidRPr="0018251A">
        <w:rPr>
          <w:rFonts w:ascii="Times New Roman" w:hAnsi="Times New Roman"/>
          <w:sz w:val="24"/>
          <w:szCs w:val="24"/>
        </w:rPr>
        <w:t xml:space="preserve">]. </w:t>
      </w:r>
      <w:r w:rsidR="000F6770" w:rsidRPr="0018251A">
        <w:rPr>
          <w:rFonts w:ascii="Times New Roman" w:hAnsi="Times New Roman"/>
          <w:sz w:val="24"/>
          <w:szCs w:val="24"/>
        </w:rPr>
        <w:t xml:space="preserve"> </w:t>
      </w:r>
      <w:r w:rsidRPr="0018251A">
        <w:rPr>
          <w:rFonts w:ascii="Times New Roman" w:hAnsi="Times New Roman"/>
          <w:sz w:val="24"/>
          <w:szCs w:val="24"/>
        </w:rPr>
        <w:t>These wastewaters are affecting a lot of individuals. Low-income individuals frequently drink tainted river water, which causes them to contract various skin and intestinal illnesses. Therefore, action should be required to address these issues.</w:t>
      </w:r>
      <w:r w:rsidR="000F6770" w:rsidRPr="0018251A">
        <w:rPr>
          <w:rFonts w:ascii="Times New Roman" w:hAnsi="Times New Roman"/>
          <w:sz w:val="24"/>
          <w:szCs w:val="24"/>
        </w:rPr>
        <w:t xml:space="preserve"> </w:t>
      </w:r>
      <w:r w:rsidRPr="0018251A">
        <w:rPr>
          <w:rFonts w:ascii="Times New Roman" w:hAnsi="Times New Roman"/>
          <w:sz w:val="24"/>
          <w:szCs w:val="24"/>
        </w:rPr>
        <w:t>To mitigate this problem, the significances of regulatory frameworks, technological innovations and sustainability considerations should be kept at the top priority [</w:t>
      </w:r>
      <w:r w:rsidR="0018251A" w:rsidRPr="0018251A">
        <w:rPr>
          <w:rFonts w:ascii="Times New Roman" w:hAnsi="Times New Roman"/>
          <w:sz w:val="24"/>
          <w:szCs w:val="24"/>
        </w:rPr>
        <w:t>5</w:t>
      </w:r>
      <w:r w:rsidRPr="0018251A">
        <w:rPr>
          <w:rFonts w:ascii="Times New Roman" w:hAnsi="Times New Roman"/>
          <w:sz w:val="24"/>
          <w:szCs w:val="24"/>
        </w:rPr>
        <w:t>]. However, stakeholders’ collaboration still needs to overcome the problem. The adoption of advanced technology faces several challenges. The research done by P. Garrone et al. highlights the systemic and infrastructure aspects of these innovations, which entail a variety of frequently opposing interests, as well as the unequal distribution of costs and rewards among stakeholders. Efforts to improve dynamic efficiency in the sector are further complicated by the complex stakeholder environment and a lack of awareness of the challenges [</w:t>
      </w:r>
      <w:r w:rsidR="0018251A" w:rsidRPr="0018251A">
        <w:rPr>
          <w:rFonts w:ascii="Times New Roman" w:hAnsi="Times New Roman"/>
          <w:sz w:val="24"/>
          <w:szCs w:val="24"/>
        </w:rPr>
        <w:t>6</w:t>
      </w:r>
      <w:r w:rsidRPr="0018251A">
        <w:rPr>
          <w:rFonts w:ascii="Times New Roman" w:hAnsi="Times New Roman"/>
          <w:sz w:val="24"/>
          <w:szCs w:val="24"/>
        </w:rPr>
        <w:t xml:space="preserve">]. </w:t>
      </w:r>
    </w:p>
    <w:p w14:paraId="31B81C3A" w14:textId="45AD683B" w:rsidR="00B07F0B" w:rsidRPr="0018251A" w:rsidRDefault="00B07F0B" w:rsidP="000F6770">
      <w:pPr>
        <w:pStyle w:val="Keywords"/>
        <w:spacing w:line="360" w:lineRule="auto"/>
        <w:jc w:val="both"/>
        <w:rPr>
          <w:rFonts w:ascii="Times New Roman" w:hAnsi="Times New Roman"/>
          <w:sz w:val="24"/>
          <w:szCs w:val="24"/>
        </w:rPr>
      </w:pPr>
      <w:r w:rsidRPr="0018251A">
        <w:rPr>
          <w:rFonts w:ascii="Times New Roman" w:hAnsi="Times New Roman"/>
          <w:sz w:val="24"/>
          <w:szCs w:val="24"/>
        </w:rPr>
        <w:t xml:space="preserve">Internal obstacles include problems with behavior, technology, and finances. One of the main deterrents mentioned is the high expense of modern treatment technologies like </w:t>
      </w:r>
      <w:r w:rsidR="00DD25EC" w:rsidRPr="0018251A">
        <w:rPr>
          <w:rFonts w:ascii="Times New Roman" w:hAnsi="Times New Roman"/>
          <w:sz w:val="24"/>
          <w:szCs w:val="24"/>
        </w:rPr>
        <w:t>zero liquid discharge, membrane bioreactors,</w:t>
      </w:r>
      <w:r w:rsidRPr="0018251A">
        <w:rPr>
          <w:rFonts w:ascii="Times New Roman" w:hAnsi="Times New Roman"/>
          <w:sz w:val="24"/>
          <w:szCs w:val="24"/>
        </w:rPr>
        <w:t xml:space="preserve"> and reverse osmosis, especially for small and medium-sized businesses [</w:t>
      </w:r>
      <w:r w:rsidR="0018251A" w:rsidRPr="0018251A">
        <w:rPr>
          <w:rFonts w:ascii="Times New Roman" w:hAnsi="Times New Roman"/>
          <w:sz w:val="24"/>
          <w:szCs w:val="24"/>
        </w:rPr>
        <w:t>7</w:t>
      </w:r>
      <w:r w:rsidRPr="0018251A">
        <w:rPr>
          <w:rFonts w:ascii="Times New Roman" w:hAnsi="Times New Roman"/>
          <w:sz w:val="24"/>
          <w:szCs w:val="24"/>
        </w:rPr>
        <w:t>]. But to keep the environment safe and inhabitable</w:t>
      </w:r>
      <w:r w:rsidR="00DD25EC" w:rsidRPr="0018251A">
        <w:rPr>
          <w:rFonts w:ascii="Times New Roman" w:hAnsi="Times New Roman"/>
          <w:sz w:val="24"/>
          <w:szCs w:val="24"/>
        </w:rPr>
        <w:t>, all types of industries should move forward to adopt advanced technologies, and based on this,</w:t>
      </w:r>
      <w:r w:rsidRPr="0018251A">
        <w:rPr>
          <w:rFonts w:ascii="Times New Roman" w:hAnsi="Times New Roman"/>
          <w:sz w:val="24"/>
          <w:szCs w:val="24"/>
        </w:rPr>
        <w:t xml:space="preserve"> they should make plans. This study investigates the environmental and socio-economic impacts of untreated textile wastewater discharge in Bangladesh, with a focus on evaluating occupational awareness, accountability, and stakeholder readiness for adopting advanced wastewater treatment technologies such as Zero Liquid Discharge. Through statistical analysis of industry-specific perceptions and practices, the research identifies barriers to sustainable implementation—including socio-economic constraints and policy gaps—whilst providing data-driven strategies to integrate stricter regulations, multi-stakeholder collaboration, and innovative solutions tailored to Bangladesh’s textile sector.</w:t>
      </w:r>
    </w:p>
    <w:p w14:paraId="7B0444FE" w14:textId="77777777" w:rsidR="00B07F0B" w:rsidRPr="0018251A" w:rsidRDefault="00B07F0B" w:rsidP="00B07F0B">
      <w:pPr>
        <w:pStyle w:val="Keywords"/>
        <w:jc w:val="both"/>
        <w:rPr>
          <w:rFonts w:ascii="Times New Roman" w:hAnsi="Times New Roman"/>
          <w:sz w:val="24"/>
          <w:szCs w:val="24"/>
        </w:rPr>
      </w:pPr>
    </w:p>
    <w:p w14:paraId="065D7351" w14:textId="25549546" w:rsidR="00B07F0B" w:rsidRPr="0018251A" w:rsidRDefault="00B07F0B" w:rsidP="00B07F0B">
      <w:pPr>
        <w:pStyle w:val="Keywords"/>
        <w:jc w:val="both"/>
        <w:rPr>
          <w:rFonts w:ascii="Times New Roman" w:hAnsi="Times New Roman"/>
          <w:b/>
          <w:bCs/>
          <w:sz w:val="24"/>
          <w:szCs w:val="24"/>
        </w:rPr>
      </w:pPr>
      <w:r w:rsidRPr="0018251A">
        <w:rPr>
          <w:rFonts w:ascii="Times New Roman" w:hAnsi="Times New Roman"/>
          <w:b/>
          <w:bCs/>
          <w:sz w:val="24"/>
          <w:szCs w:val="24"/>
        </w:rPr>
        <w:lastRenderedPageBreak/>
        <w:t xml:space="preserve">3. </w:t>
      </w:r>
      <w:r w:rsidR="00D84DD5" w:rsidRPr="0018251A">
        <w:rPr>
          <w:rFonts w:ascii="Times New Roman" w:hAnsi="Times New Roman"/>
          <w:b/>
          <w:bCs/>
          <w:sz w:val="24"/>
          <w:szCs w:val="24"/>
        </w:rPr>
        <w:t>M</w:t>
      </w:r>
      <w:r w:rsidR="004603DB" w:rsidRPr="0018251A">
        <w:rPr>
          <w:rFonts w:ascii="Times New Roman" w:hAnsi="Times New Roman"/>
          <w:b/>
          <w:bCs/>
          <w:sz w:val="24"/>
          <w:szCs w:val="24"/>
        </w:rPr>
        <w:t>ethodology</w:t>
      </w:r>
    </w:p>
    <w:p w14:paraId="788F95A9" w14:textId="77777777" w:rsidR="00B940EC" w:rsidRPr="0018251A" w:rsidRDefault="00B940EC" w:rsidP="00150CAF">
      <w:pPr>
        <w:pStyle w:val="Textbloc"/>
        <w:rPr>
          <w:rFonts w:ascii="Times New Roman" w:hAnsi="Times New Roman"/>
          <w:sz w:val="24"/>
        </w:rPr>
      </w:pPr>
    </w:p>
    <w:p w14:paraId="0002BAB7" w14:textId="48CB8733" w:rsidR="00DE1B44" w:rsidRPr="0018251A" w:rsidRDefault="00B940EC" w:rsidP="00DD25EC">
      <w:pPr>
        <w:pStyle w:val="Textbloc"/>
        <w:spacing w:line="360" w:lineRule="auto"/>
        <w:rPr>
          <w:rFonts w:ascii="Times New Roman" w:hAnsi="Times New Roman"/>
          <w:sz w:val="24"/>
        </w:rPr>
      </w:pPr>
      <w:r w:rsidRPr="0018251A">
        <w:rPr>
          <w:rFonts w:ascii="Times New Roman" w:hAnsi="Times New Roman"/>
          <w:sz w:val="24"/>
        </w:rPr>
        <w:t>This study utilized a quantitative approach to analyse occupational disparities in environmental accountability and barriers to adopting advanced wastewater solutions in Bangladesh’s textile sector. Data were collected via structured surveys, focusing on job roles, awareness of pollution impacts, familiarity with Zero Liquid Discharge, and support for regulatory reforms.</w:t>
      </w:r>
      <w:r w:rsidR="000F6770" w:rsidRPr="0018251A">
        <w:rPr>
          <w:rFonts w:ascii="Times New Roman" w:hAnsi="Times New Roman"/>
          <w:sz w:val="24"/>
        </w:rPr>
        <w:t xml:space="preserve"> </w:t>
      </w:r>
      <w:r w:rsidR="00DE1B44" w:rsidRPr="0018251A">
        <w:rPr>
          <w:rFonts w:ascii="Times New Roman" w:hAnsi="Times New Roman"/>
          <w:sz w:val="24"/>
        </w:rPr>
        <w:t>Pie charts visualized occupational distribution, pollution concern levels, and sustainable practices.</w:t>
      </w:r>
      <w:r w:rsidR="000F6770" w:rsidRPr="0018251A">
        <w:rPr>
          <w:rFonts w:ascii="Times New Roman" w:hAnsi="Times New Roman"/>
          <w:sz w:val="24"/>
        </w:rPr>
        <w:t xml:space="preserve"> </w:t>
      </w:r>
      <w:r w:rsidR="00DE1B44" w:rsidRPr="0018251A">
        <w:rPr>
          <w:rFonts w:ascii="Times New Roman" w:hAnsi="Times New Roman"/>
          <w:sz w:val="24"/>
        </w:rPr>
        <w:t>Assessed associations between occupation level and willingness to pay more for eco-friendly clothing, gender and support for mandatory wastewater treatment, occupation level and awareness of textile water pollution, and occupation level and familiarity with Zero Liquid Discharge</w:t>
      </w:r>
      <w:r w:rsidR="000F6770" w:rsidRPr="0018251A">
        <w:rPr>
          <w:rFonts w:ascii="Times New Roman" w:hAnsi="Times New Roman"/>
          <w:sz w:val="24"/>
        </w:rPr>
        <w:t>.</w:t>
      </w:r>
    </w:p>
    <w:p w14:paraId="20D43445" w14:textId="77777777" w:rsidR="00580C5A" w:rsidRPr="0018251A" w:rsidRDefault="00580C5A" w:rsidP="00DD25EC">
      <w:pPr>
        <w:pStyle w:val="BodyText0"/>
      </w:pPr>
    </w:p>
    <w:p w14:paraId="2A4EC929" w14:textId="4488449E" w:rsidR="00580C5A" w:rsidRPr="0018251A" w:rsidRDefault="00580C5A" w:rsidP="00DD25EC">
      <w:pPr>
        <w:pStyle w:val="BodyText0"/>
      </w:pPr>
      <w:r w:rsidRPr="0018251A">
        <w:t xml:space="preserve">4. </w:t>
      </w:r>
      <w:r w:rsidR="00DD25EC" w:rsidRPr="0018251A">
        <w:t>Results and Discussions</w:t>
      </w:r>
    </w:p>
    <w:p w14:paraId="05051594" w14:textId="77777777" w:rsidR="00DD25EC" w:rsidRPr="0018251A" w:rsidRDefault="00580C5A" w:rsidP="00DD25EC">
      <w:pPr>
        <w:spacing w:line="360" w:lineRule="auto"/>
        <w:ind w:left="360"/>
        <w:jc w:val="both"/>
        <w:rPr>
          <w:rFonts w:eastAsia="Aptos"/>
          <w:color w:val="000000" w:themeColor="text1"/>
          <w:sz w:val="24"/>
          <w:szCs w:val="24"/>
        </w:rPr>
      </w:pPr>
      <w:r w:rsidRPr="0018251A">
        <w:rPr>
          <w:rFonts w:eastAsia="Aptos"/>
          <w:color w:val="000000" w:themeColor="text1"/>
          <w:sz w:val="24"/>
          <w:szCs w:val="24"/>
        </w:rPr>
        <w:t xml:space="preserve">From Figure 1, it can be seen that the participants </w:t>
      </w:r>
      <w:r w:rsidR="00DD25EC" w:rsidRPr="0018251A">
        <w:rPr>
          <w:rFonts w:eastAsia="Aptos"/>
          <w:color w:val="000000" w:themeColor="text1"/>
          <w:sz w:val="24"/>
          <w:szCs w:val="24"/>
        </w:rPr>
        <w:t>in the survey are predominantly students (70.4%), with the remaining respondents comprising employees, self-employed individuals, and those who are unemployed</w:t>
      </w:r>
      <w:r w:rsidRPr="0018251A">
        <w:rPr>
          <w:rFonts w:eastAsia="Aptos"/>
          <w:color w:val="000000" w:themeColor="text1"/>
          <w:sz w:val="24"/>
          <w:szCs w:val="24"/>
        </w:rPr>
        <w:t xml:space="preserve"> (29.6% combined).</w:t>
      </w:r>
      <w:r w:rsidRPr="0018251A">
        <w:rPr>
          <w:color w:val="000000"/>
          <w:sz w:val="24"/>
          <w:szCs w:val="24"/>
        </w:rPr>
        <w:t xml:space="preserve"> </w:t>
      </w:r>
      <w:r w:rsidR="00DD25EC" w:rsidRPr="0018251A">
        <w:rPr>
          <w:rFonts w:eastAsia="Aptos"/>
          <w:color w:val="000000" w:themeColor="text1"/>
          <w:sz w:val="24"/>
          <w:szCs w:val="24"/>
        </w:rPr>
        <w:t xml:space="preserve">In Figure 2, a large majority expressed environmental concern, with 31.5% being very concerned and 59.3% somewhat concerned about industrial water pollution. </w:t>
      </w:r>
    </w:p>
    <w:p w14:paraId="2FDB9EBD" w14:textId="2F199486" w:rsidR="00580C5A" w:rsidRPr="0018251A" w:rsidRDefault="00580C5A" w:rsidP="00DD25EC">
      <w:pPr>
        <w:spacing w:line="360" w:lineRule="auto"/>
        <w:jc w:val="both"/>
        <w:rPr>
          <w:color w:val="000000"/>
          <w:sz w:val="24"/>
          <w:szCs w:val="24"/>
        </w:rPr>
      </w:pPr>
    </w:p>
    <w:p w14:paraId="17658F94" w14:textId="77777777" w:rsidR="00580C5A" w:rsidRPr="0018251A" w:rsidRDefault="00580C5A" w:rsidP="00580C5A">
      <w:pPr>
        <w:ind w:left="360"/>
        <w:jc w:val="center"/>
        <w:rPr>
          <w:rFonts w:eastAsia="Aptos"/>
          <w:color w:val="000000" w:themeColor="text1"/>
          <w:sz w:val="24"/>
          <w:szCs w:val="24"/>
        </w:rPr>
      </w:pPr>
      <w:r w:rsidRPr="0018251A">
        <w:rPr>
          <w:rFonts w:eastAsia="Aptos"/>
          <w:noProof/>
          <w:color w:val="000000" w:themeColor="text1"/>
          <w:sz w:val="24"/>
          <w:szCs w:val="24"/>
          <w:lang w:val="en-US"/>
        </w:rPr>
        <w:drawing>
          <wp:inline distT="0" distB="0" distL="0" distR="0" wp14:anchorId="647CE031" wp14:editId="1BA37F8E">
            <wp:extent cx="4246146" cy="2039815"/>
            <wp:effectExtent l="76200" t="76200" r="135890" b="132080"/>
            <wp:docPr id="1002630384" name="Picture 1" descr="A pie chart with different colored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0384" name="Picture 1" descr="A pie chart with different colored sections&#10;&#10;AI-generated content may be incorrect."/>
                    <pic:cNvPicPr/>
                  </pic:nvPicPr>
                  <pic:blipFill>
                    <a:blip r:embed="rId7"/>
                    <a:stretch>
                      <a:fillRect/>
                    </a:stretch>
                  </pic:blipFill>
                  <pic:spPr>
                    <a:xfrm>
                      <a:off x="0" y="0"/>
                      <a:ext cx="4258762" cy="2045875"/>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2E41EF38" w14:textId="08FABADD" w:rsidR="00580C5A" w:rsidRPr="0018251A" w:rsidRDefault="00580C5A" w:rsidP="00580C5A">
      <w:pPr>
        <w:ind w:left="360"/>
        <w:jc w:val="center"/>
        <w:rPr>
          <w:rFonts w:eastAsia="Aptos"/>
          <w:color w:val="000000" w:themeColor="text1"/>
          <w:sz w:val="24"/>
          <w:szCs w:val="24"/>
        </w:rPr>
      </w:pPr>
      <w:r w:rsidRPr="0018251A">
        <w:rPr>
          <w:rFonts w:eastAsia="Aptos"/>
          <w:color w:val="000000" w:themeColor="text1"/>
          <w:sz w:val="24"/>
          <w:szCs w:val="24"/>
        </w:rPr>
        <w:t xml:space="preserve">Figure 1. Occupational demographics of participants </w:t>
      </w:r>
    </w:p>
    <w:p w14:paraId="4C12C5A3" w14:textId="77777777" w:rsidR="00580C5A" w:rsidRPr="0018251A" w:rsidRDefault="00580C5A" w:rsidP="00580C5A">
      <w:pPr>
        <w:ind w:left="360"/>
        <w:jc w:val="center"/>
        <w:rPr>
          <w:rFonts w:eastAsia="Aptos"/>
          <w:color w:val="000000" w:themeColor="text1"/>
          <w:sz w:val="24"/>
          <w:szCs w:val="24"/>
        </w:rPr>
      </w:pPr>
    </w:p>
    <w:p w14:paraId="5C304CAB" w14:textId="77777777" w:rsidR="00580C5A" w:rsidRPr="0018251A" w:rsidRDefault="00580C5A" w:rsidP="00580C5A">
      <w:pPr>
        <w:ind w:left="360"/>
        <w:jc w:val="center"/>
        <w:rPr>
          <w:rFonts w:eastAsia="Aptos"/>
          <w:color w:val="000000" w:themeColor="text1"/>
          <w:sz w:val="24"/>
          <w:szCs w:val="24"/>
        </w:rPr>
      </w:pPr>
      <w:r w:rsidRPr="0018251A">
        <w:rPr>
          <w:rFonts w:eastAsia="Aptos"/>
          <w:noProof/>
          <w:color w:val="000000" w:themeColor="text1"/>
          <w:sz w:val="24"/>
          <w:szCs w:val="24"/>
          <w:lang w:val="en-US"/>
        </w:rPr>
        <w:lastRenderedPageBreak/>
        <w:drawing>
          <wp:inline distT="0" distB="0" distL="0" distR="0" wp14:anchorId="6B8B3726" wp14:editId="6D16466B">
            <wp:extent cx="4272493" cy="2051548"/>
            <wp:effectExtent l="76200" t="76200" r="128270" b="139700"/>
            <wp:docPr id="2110462970" name="Picture 1" descr="A diagram of water pollution caused by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62970" name="Picture 1" descr="A diagram of water pollution caused by water&#10;&#10;AI-generated content may be incorrect."/>
                    <pic:cNvPicPr/>
                  </pic:nvPicPr>
                  <pic:blipFill>
                    <a:blip r:embed="rId8"/>
                    <a:stretch>
                      <a:fillRect/>
                    </a:stretch>
                  </pic:blipFill>
                  <pic:spPr>
                    <a:xfrm>
                      <a:off x="0" y="0"/>
                      <a:ext cx="4294380" cy="2062058"/>
                    </a:xfrm>
                    <a:prstGeom prst="rect">
                      <a:avLst/>
                    </a:prstGeom>
                    <a:ln w="38100" cap="sq">
                      <a:solidFill>
                        <a:schemeClr val="bg2">
                          <a:lumMod val="9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43FA11D7" w14:textId="2D5EF96D" w:rsidR="00580C5A" w:rsidRPr="0018251A" w:rsidRDefault="00580C5A" w:rsidP="00580C5A">
      <w:pPr>
        <w:ind w:left="360"/>
        <w:jc w:val="center"/>
        <w:rPr>
          <w:rFonts w:eastAsia="Aptos"/>
          <w:color w:val="000000" w:themeColor="text1"/>
          <w:sz w:val="24"/>
          <w:szCs w:val="24"/>
        </w:rPr>
      </w:pPr>
      <w:r w:rsidRPr="0018251A">
        <w:rPr>
          <w:rFonts w:eastAsia="Aptos"/>
          <w:color w:val="000000" w:themeColor="text1"/>
          <w:sz w:val="24"/>
          <w:szCs w:val="24"/>
        </w:rPr>
        <w:t>Figure 2. Water Pollution concern of participants</w:t>
      </w:r>
    </w:p>
    <w:p w14:paraId="39AC8764" w14:textId="77777777" w:rsidR="00580C5A" w:rsidRPr="0018251A" w:rsidRDefault="00580C5A" w:rsidP="00580C5A">
      <w:pPr>
        <w:ind w:left="360"/>
        <w:rPr>
          <w:rFonts w:eastAsia="Aptos"/>
          <w:b/>
          <w:bCs/>
          <w:color w:val="000000" w:themeColor="text1"/>
          <w:sz w:val="24"/>
          <w:szCs w:val="24"/>
        </w:rPr>
      </w:pPr>
    </w:p>
    <w:p w14:paraId="49E45110" w14:textId="423C484C" w:rsidR="00580C5A" w:rsidRPr="0018251A" w:rsidRDefault="00580C5A" w:rsidP="00E5417C">
      <w:pPr>
        <w:spacing w:after="240" w:line="360" w:lineRule="auto"/>
        <w:ind w:left="360"/>
        <w:jc w:val="both"/>
        <w:rPr>
          <w:rFonts w:eastAsia="Aptos"/>
          <w:color w:val="000000" w:themeColor="text1"/>
          <w:sz w:val="24"/>
          <w:szCs w:val="24"/>
        </w:rPr>
      </w:pPr>
      <w:r w:rsidRPr="0018251A">
        <w:rPr>
          <w:rFonts w:eastAsia="Aptos"/>
          <w:color w:val="000000" w:themeColor="text1"/>
          <w:sz w:val="24"/>
          <w:szCs w:val="24"/>
        </w:rPr>
        <w:t xml:space="preserve">Additionally, from Figure 3, 74.1% viewed sustainable business practices as very important, while 20.4% considered them somewhat important, reflecting strong support for eco-friendly policies. </w:t>
      </w:r>
    </w:p>
    <w:p w14:paraId="5706BA4A" w14:textId="77777777" w:rsidR="00580C5A" w:rsidRPr="0018251A" w:rsidRDefault="00580C5A" w:rsidP="00580C5A">
      <w:pPr>
        <w:ind w:left="360"/>
        <w:jc w:val="center"/>
        <w:rPr>
          <w:rFonts w:eastAsia="Aptos"/>
          <w:color w:val="000000" w:themeColor="text1"/>
          <w:sz w:val="24"/>
          <w:szCs w:val="24"/>
        </w:rPr>
      </w:pPr>
      <w:r w:rsidRPr="0018251A">
        <w:rPr>
          <w:rFonts w:eastAsia="Aptos"/>
          <w:noProof/>
          <w:color w:val="000000" w:themeColor="text1"/>
          <w:sz w:val="24"/>
          <w:szCs w:val="24"/>
          <w:lang w:val="en-US"/>
        </w:rPr>
        <w:drawing>
          <wp:inline distT="0" distB="0" distL="0" distR="0" wp14:anchorId="1131AF19" wp14:editId="2A9D7D3F">
            <wp:extent cx="4256253" cy="2098431"/>
            <wp:effectExtent l="76200" t="76200" r="125730" b="130810"/>
            <wp:docPr id="705727580" name="Picture 1" descr="A pie chart with a red triangle and blue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27580" name="Picture 1" descr="A pie chart with a red triangle and blue triangle&#10;&#10;AI-generated content may be incorrect."/>
                    <pic:cNvPicPr/>
                  </pic:nvPicPr>
                  <pic:blipFill>
                    <a:blip r:embed="rId9"/>
                    <a:stretch>
                      <a:fillRect/>
                    </a:stretch>
                  </pic:blipFill>
                  <pic:spPr>
                    <a:xfrm>
                      <a:off x="0" y="0"/>
                      <a:ext cx="4269569" cy="2104996"/>
                    </a:xfrm>
                    <a:prstGeom prst="rect">
                      <a:avLst/>
                    </a:prstGeom>
                    <a:ln w="38100" cap="sq">
                      <a:solidFill>
                        <a:schemeClr val="bg2">
                          <a:lumMod val="9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38257CCE" w14:textId="3A4A0E96" w:rsidR="00580C5A" w:rsidRPr="0018251A" w:rsidRDefault="00580C5A" w:rsidP="00580C5A">
      <w:pPr>
        <w:ind w:left="360"/>
        <w:jc w:val="center"/>
        <w:rPr>
          <w:rFonts w:eastAsia="Aptos"/>
          <w:color w:val="000000" w:themeColor="text1"/>
          <w:sz w:val="24"/>
          <w:szCs w:val="24"/>
        </w:rPr>
      </w:pPr>
      <w:r w:rsidRPr="0018251A">
        <w:rPr>
          <w:rFonts w:eastAsia="Aptos"/>
          <w:color w:val="000000" w:themeColor="text1"/>
          <w:sz w:val="24"/>
          <w:szCs w:val="24"/>
        </w:rPr>
        <w:t xml:space="preserve">Figure 3. Sustainable business practice concern of participants </w:t>
      </w:r>
    </w:p>
    <w:p w14:paraId="26B9204B" w14:textId="77777777" w:rsidR="00580C5A" w:rsidRPr="0018251A" w:rsidRDefault="00580C5A" w:rsidP="00580C5A">
      <w:pPr>
        <w:rPr>
          <w:rFonts w:eastAsia="Aptos"/>
          <w:b/>
          <w:bCs/>
          <w:color w:val="000000" w:themeColor="text1"/>
          <w:sz w:val="24"/>
          <w:szCs w:val="24"/>
        </w:rPr>
      </w:pPr>
    </w:p>
    <w:p w14:paraId="549BA1F6" w14:textId="77777777" w:rsidR="00580C5A" w:rsidRPr="0018251A" w:rsidRDefault="00580C5A" w:rsidP="00E5417C">
      <w:pPr>
        <w:spacing w:line="360" w:lineRule="auto"/>
        <w:ind w:left="360"/>
        <w:jc w:val="both"/>
        <w:rPr>
          <w:rFonts w:eastAsia="Aptos"/>
          <w:color w:val="000000" w:themeColor="text1"/>
          <w:sz w:val="24"/>
          <w:szCs w:val="24"/>
        </w:rPr>
      </w:pPr>
      <w:r w:rsidRPr="0018251A">
        <w:rPr>
          <w:rFonts w:eastAsia="Aptos"/>
          <w:color w:val="000000" w:themeColor="text1"/>
          <w:sz w:val="24"/>
          <w:szCs w:val="24"/>
        </w:rPr>
        <w:t>However, the heavy representation of students suggests findings may prioritize youth and academic perspectives, potentially limiting generalizability to industry professionals or older demographics. This demographic profile underscores the role of younger, environmentally conscious voices in shaping sustainability discourse in Bangladesh’s textile sector.</w:t>
      </w:r>
    </w:p>
    <w:p w14:paraId="1005DFB5" w14:textId="77777777" w:rsidR="001A516A" w:rsidRPr="0018251A" w:rsidRDefault="001A516A" w:rsidP="00E5417C">
      <w:pPr>
        <w:spacing w:line="360" w:lineRule="auto"/>
        <w:ind w:left="360"/>
        <w:jc w:val="both"/>
        <w:rPr>
          <w:rFonts w:eastAsia="Aptos"/>
          <w:color w:val="000000" w:themeColor="text1"/>
          <w:sz w:val="24"/>
          <w:szCs w:val="24"/>
        </w:rPr>
      </w:pPr>
    </w:p>
    <w:p w14:paraId="2B413C93" w14:textId="0E3BC2BC" w:rsidR="001A516A" w:rsidRPr="0018251A" w:rsidRDefault="001A516A" w:rsidP="00E5417C">
      <w:pPr>
        <w:spacing w:line="360" w:lineRule="auto"/>
        <w:ind w:left="360"/>
        <w:jc w:val="both"/>
        <w:rPr>
          <w:rFonts w:eastAsia="Aptos"/>
          <w:color w:val="000000" w:themeColor="text1"/>
          <w:sz w:val="24"/>
          <w:szCs w:val="24"/>
        </w:rPr>
      </w:pPr>
      <w:r w:rsidRPr="0018251A">
        <w:rPr>
          <w:rFonts w:eastAsia="Aptos"/>
          <w:color w:val="000000" w:themeColor="text1"/>
          <w:sz w:val="24"/>
          <w:szCs w:val="24"/>
        </w:rPr>
        <w:t xml:space="preserve">The Chi-Square test result from Table 1,  revealed no statistically significant association between occupation level and willingness to pay more for environmentally friendly clothing (χ² = 2.546, df = 3, p = 0.467). Both the Pearson Chi-Square and Likelihood Ratio tests confirmed this non-significant relationship. The effect size, measured by </w:t>
      </w:r>
      <w:r w:rsidRPr="0018251A">
        <w:rPr>
          <w:rFonts w:eastAsia="Aptos"/>
          <w:color w:val="000000" w:themeColor="text1"/>
          <w:sz w:val="24"/>
          <w:szCs w:val="24"/>
        </w:rPr>
        <w:lastRenderedPageBreak/>
        <w:t>Cramér’s V (0.111), indicates a negligible association between the variables. Notably, 37.5% of cells had expected counts below 5 (minimum = 0.81), which may affect result reliability. The analysis suggests that occupational hierarchy does not significantly influence individuals’ willingness to pay a premium for sustainably produced textiles.</w:t>
      </w:r>
    </w:p>
    <w:p w14:paraId="38C96B90" w14:textId="77777777" w:rsidR="001A516A" w:rsidRPr="0018251A" w:rsidRDefault="001A516A" w:rsidP="00E5417C">
      <w:pPr>
        <w:jc w:val="both"/>
        <w:rPr>
          <w:rFonts w:eastAsia="Aptos"/>
          <w:b/>
          <w:bCs/>
          <w:color w:val="000000" w:themeColor="text1"/>
          <w:sz w:val="24"/>
          <w:szCs w:val="24"/>
        </w:rPr>
      </w:pPr>
    </w:p>
    <w:p w14:paraId="74423CD5" w14:textId="77777777" w:rsidR="007249EA" w:rsidRPr="0018251A" w:rsidRDefault="007249EA" w:rsidP="00580C5A">
      <w:pPr>
        <w:ind w:left="360"/>
        <w:jc w:val="both"/>
        <w:rPr>
          <w:rFonts w:eastAsia="Aptos"/>
          <w:color w:val="000000" w:themeColor="text1"/>
          <w:sz w:val="24"/>
          <w:szCs w:val="24"/>
        </w:rPr>
      </w:pPr>
    </w:p>
    <w:p w14:paraId="023F7A5E" w14:textId="50CD3A4D" w:rsidR="007249EA" w:rsidRPr="0018251A" w:rsidRDefault="007249EA" w:rsidP="007249EA">
      <w:pPr>
        <w:pStyle w:val="TabelSubtitle0"/>
        <w:rPr>
          <w:bCs/>
          <w:sz w:val="24"/>
        </w:rPr>
      </w:pPr>
      <w:r w:rsidRPr="0018251A">
        <w:rPr>
          <w:bCs/>
          <w:sz w:val="24"/>
        </w:rPr>
        <w:t>Table 1. Chi-Square test result between occupation level and willingness to pay a premium for environmentally friendly clothing</w:t>
      </w:r>
    </w:p>
    <w:p w14:paraId="0244F91D" w14:textId="77777777" w:rsidR="007249EA" w:rsidRPr="0018251A" w:rsidRDefault="007249EA" w:rsidP="007249EA">
      <w:pPr>
        <w:pStyle w:val="TabelSubtitle0"/>
        <w:rPr>
          <w:rFonts w:eastAsia="Aptos"/>
          <w:bCs/>
          <w:color w:val="000000" w:themeColor="text1"/>
          <w:sz w:val="24"/>
        </w:rPr>
      </w:pPr>
    </w:p>
    <w:tbl>
      <w:tblPr>
        <w:tblStyle w:val="PlainTable21"/>
        <w:tblW w:w="5806" w:type="dxa"/>
        <w:jc w:val="center"/>
        <w:tblLook w:val="04A0" w:firstRow="1" w:lastRow="0" w:firstColumn="1" w:lastColumn="0" w:noHBand="0" w:noVBand="1"/>
      </w:tblPr>
      <w:tblGrid>
        <w:gridCol w:w="4605"/>
        <w:gridCol w:w="1201"/>
      </w:tblGrid>
      <w:tr w:rsidR="007249EA" w:rsidRPr="0018251A" w14:paraId="3CF7ACB3" w14:textId="77777777" w:rsidTr="00E5417C">
        <w:trPr>
          <w:cnfStyle w:val="100000000000" w:firstRow="1" w:lastRow="0" w:firstColumn="0" w:lastColumn="0" w:oddVBand="0" w:evenVBand="0" w:oddHBand="0"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173637" w14:textId="77777777" w:rsidR="007249EA" w:rsidRPr="0018251A" w:rsidRDefault="007249EA" w:rsidP="007249EA">
            <w:pPr>
              <w:rPr>
                <w:b w:val="0"/>
                <w:color w:val="000000" w:themeColor="text1"/>
                <w:sz w:val="24"/>
                <w:szCs w:val="24"/>
                <w:lang w:val="en-US" w:bidi="hi-IN"/>
              </w:rPr>
            </w:pPr>
            <w:r w:rsidRPr="0018251A">
              <w:rPr>
                <w:b w:val="0"/>
                <w:color w:val="000000" w:themeColor="text1"/>
                <w:sz w:val="24"/>
                <w:szCs w:val="24"/>
                <w:lang w:val="en-US" w:bidi="hi-IN"/>
              </w:rPr>
              <w:t>Measure</w:t>
            </w:r>
          </w:p>
        </w:tc>
        <w:tc>
          <w:tcPr>
            <w:tcW w:w="0" w:type="auto"/>
            <w:hideMark/>
          </w:tcPr>
          <w:p w14:paraId="5D87C75A" w14:textId="77777777" w:rsidR="007249EA" w:rsidRPr="0018251A" w:rsidRDefault="007249EA" w:rsidP="007249EA">
            <w:pP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lang w:val="en-US" w:bidi="hi-IN"/>
              </w:rPr>
            </w:pPr>
            <w:r w:rsidRPr="0018251A">
              <w:rPr>
                <w:b w:val="0"/>
                <w:color w:val="000000" w:themeColor="text1"/>
                <w:sz w:val="24"/>
                <w:szCs w:val="24"/>
                <w:lang w:val="en-US" w:bidi="hi-IN"/>
              </w:rPr>
              <w:t>Value</w:t>
            </w:r>
          </w:p>
        </w:tc>
      </w:tr>
      <w:tr w:rsidR="007249EA" w:rsidRPr="0018251A" w14:paraId="788C197C" w14:textId="77777777" w:rsidTr="00E5417C">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A9232D" w14:textId="77777777" w:rsidR="007249EA" w:rsidRPr="0018251A" w:rsidRDefault="007249EA" w:rsidP="007249EA">
            <w:pPr>
              <w:rPr>
                <w:b w:val="0"/>
                <w:bCs w:val="0"/>
                <w:color w:val="000000" w:themeColor="text1"/>
                <w:sz w:val="24"/>
                <w:szCs w:val="24"/>
                <w:lang w:val="en-US" w:bidi="hi-IN"/>
              </w:rPr>
            </w:pPr>
            <w:r w:rsidRPr="0018251A">
              <w:rPr>
                <w:b w:val="0"/>
                <w:bCs w:val="0"/>
                <w:color w:val="000000" w:themeColor="text1"/>
                <w:sz w:val="24"/>
                <w:szCs w:val="24"/>
                <w:lang w:val="en-US" w:bidi="hi-IN"/>
              </w:rPr>
              <w:t>Pearson Chi-Square (χ²)</w:t>
            </w:r>
          </w:p>
        </w:tc>
        <w:tc>
          <w:tcPr>
            <w:tcW w:w="0" w:type="auto"/>
            <w:hideMark/>
          </w:tcPr>
          <w:p w14:paraId="67B72826" w14:textId="1CCC4C76" w:rsidR="007249EA" w:rsidRPr="0018251A" w:rsidRDefault="007249EA" w:rsidP="007249EA">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2.546</w:t>
            </w:r>
          </w:p>
        </w:tc>
      </w:tr>
      <w:tr w:rsidR="007249EA" w:rsidRPr="0018251A" w14:paraId="0E81F5A4" w14:textId="77777777" w:rsidTr="00E5417C">
        <w:trPr>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BAA887" w14:textId="77777777" w:rsidR="007249EA" w:rsidRPr="0018251A" w:rsidRDefault="007249EA" w:rsidP="007249EA">
            <w:pPr>
              <w:rPr>
                <w:b w:val="0"/>
                <w:bCs w:val="0"/>
                <w:color w:val="000000" w:themeColor="text1"/>
                <w:sz w:val="24"/>
                <w:szCs w:val="24"/>
                <w:lang w:val="en-US" w:bidi="hi-IN"/>
              </w:rPr>
            </w:pPr>
            <w:r w:rsidRPr="0018251A">
              <w:rPr>
                <w:b w:val="0"/>
                <w:bCs w:val="0"/>
                <w:color w:val="000000" w:themeColor="text1"/>
                <w:sz w:val="24"/>
                <w:szCs w:val="24"/>
                <w:lang w:val="en-US" w:bidi="hi-IN"/>
              </w:rPr>
              <w:t>Degrees of Freedom (df)</w:t>
            </w:r>
          </w:p>
        </w:tc>
        <w:tc>
          <w:tcPr>
            <w:tcW w:w="0" w:type="auto"/>
            <w:hideMark/>
          </w:tcPr>
          <w:p w14:paraId="60E00DE5" w14:textId="17DC8020" w:rsidR="007249EA" w:rsidRPr="0018251A" w:rsidRDefault="007249EA" w:rsidP="007249EA">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3</w:t>
            </w:r>
          </w:p>
        </w:tc>
      </w:tr>
      <w:tr w:rsidR="008875F2" w:rsidRPr="0018251A" w14:paraId="7DC8C3B2" w14:textId="77777777" w:rsidTr="00E5417C">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tcPr>
          <w:p w14:paraId="030B1E09" w14:textId="479B4311"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p-value (Likelihood Ratio)</w:t>
            </w:r>
          </w:p>
        </w:tc>
        <w:tc>
          <w:tcPr>
            <w:tcW w:w="0" w:type="auto"/>
          </w:tcPr>
          <w:p w14:paraId="5C8BE478" w14:textId="3028AC30"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0.473</w:t>
            </w:r>
          </w:p>
        </w:tc>
      </w:tr>
      <w:tr w:rsidR="008875F2" w:rsidRPr="0018251A" w14:paraId="72828F67" w14:textId="77777777" w:rsidTr="00E5417C">
        <w:trPr>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95A30" w14:textId="47C1642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p-value (Pearson)</w:t>
            </w:r>
          </w:p>
        </w:tc>
        <w:tc>
          <w:tcPr>
            <w:tcW w:w="0" w:type="auto"/>
            <w:hideMark/>
          </w:tcPr>
          <w:p w14:paraId="23C5B377" w14:textId="77777777"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0.467</w:t>
            </w:r>
          </w:p>
        </w:tc>
      </w:tr>
      <w:tr w:rsidR="008875F2" w:rsidRPr="0018251A" w14:paraId="73FD3152" w14:textId="77777777" w:rsidTr="00E5417C">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C464F2"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Cramér’s V (Effect Size)</w:t>
            </w:r>
          </w:p>
        </w:tc>
        <w:tc>
          <w:tcPr>
            <w:tcW w:w="0" w:type="auto"/>
            <w:hideMark/>
          </w:tcPr>
          <w:p w14:paraId="2A615B6D" w14:textId="77777777"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0.111</w:t>
            </w:r>
          </w:p>
        </w:tc>
      </w:tr>
      <w:tr w:rsidR="008875F2" w:rsidRPr="0018251A" w14:paraId="680F002C" w14:textId="77777777" w:rsidTr="00E5417C">
        <w:trPr>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5A16FE"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Cells with Expected Counts &lt;5</w:t>
            </w:r>
          </w:p>
        </w:tc>
        <w:tc>
          <w:tcPr>
            <w:tcW w:w="0" w:type="auto"/>
            <w:hideMark/>
          </w:tcPr>
          <w:p w14:paraId="4230E005" w14:textId="77777777"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37.5%</w:t>
            </w:r>
          </w:p>
        </w:tc>
      </w:tr>
      <w:tr w:rsidR="008875F2" w:rsidRPr="0018251A" w14:paraId="55EA9D85" w14:textId="77777777" w:rsidTr="00E5417C">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868874"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Minimum Expected Count</w:t>
            </w:r>
          </w:p>
        </w:tc>
        <w:tc>
          <w:tcPr>
            <w:tcW w:w="0" w:type="auto"/>
            <w:hideMark/>
          </w:tcPr>
          <w:p w14:paraId="1E2D9645" w14:textId="77777777"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0.81</w:t>
            </w:r>
          </w:p>
        </w:tc>
      </w:tr>
    </w:tbl>
    <w:p w14:paraId="4B2E91C9" w14:textId="77777777" w:rsidR="00580C5A" w:rsidRPr="0018251A" w:rsidRDefault="00580C5A" w:rsidP="00580C5A">
      <w:pPr>
        <w:rPr>
          <w:rFonts w:eastAsia="Aptos"/>
          <w:color w:val="000000" w:themeColor="text1"/>
          <w:sz w:val="24"/>
          <w:szCs w:val="24"/>
        </w:rPr>
      </w:pPr>
    </w:p>
    <w:p w14:paraId="1B9CC7BB" w14:textId="6498323A" w:rsidR="001A516A" w:rsidRPr="0018251A" w:rsidRDefault="001A516A" w:rsidP="00E5417C">
      <w:pPr>
        <w:spacing w:line="360" w:lineRule="auto"/>
        <w:jc w:val="both"/>
        <w:rPr>
          <w:rFonts w:eastAsia="Aptos"/>
          <w:color w:val="000000" w:themeColor="text1"/>
          <w:sz w:val="24"/>
          <w:szCs w:val="24"/>
        </w:rPr>
      </w:pPr>
      <w:r w:rsidRPr="0018251A">
        <w:rPr>
          <w:rFonts w:eastAsia="Aptos"/>
          <w:color w:val="000000" w:themeColor="text1"/>
          <w:sz w:val="24"/>
          <w:szCs w:val="24"/>
        </w:rPr>
        <w:t>From Table 2, the Chi-Square test shows no statistically significant association between gender and the perception that companies should recycle/treat wastewater before release into rivers (χ² = 3.480, df = 1, p = 0.062). Both Pearson Chi-Square and Likelihood Ratio tests confirmed this non-significant relationship (p &gt; 0.05). The effect size, measured by Cramér’s V (0.129), suggests a weak association. All cells had valid expected counts (minimum = 14.81), ensuring test reliability. The analysis concludes that gender does not significantly influence public support for wastewater treatment regulations.</w:t>
      </w:r>
    </w:p>
    <w:p w14:paraId="2E4D1E4D" w14:textId="77777777" w:rsidR="001A516A" w:rsidRPr="0018251A" w:rsidRDefault="001A516A" w:rsidP="001A516A">
      <w:pPr>
        <w:jc w:val="both"/>
        <w:rPr>
          <w:rFonts w:eastAsia="Aptos"/>
          <w:b/>
          <w:bCs/>
          <w:color w:val="000000" w:themeColor="text1"/>
          <w:sz w:val="24"/>
          <w:szCs w:val="24"/>
        </w:rPr>
      </w:pPr>
    </w:p>
    <w:p w14:paraId="2A15949A" w14:textId="2BAE1F0A" w:rsidR="00580C5A" w:rsidRPr="0018251A" w:rsidRDefault="001A516A" w:rsidP="008B0FE6">
      <w:pPr>
        <w:pStyle w:val="TabelSubtitle0"/>
        <w:rPr>
          <w:sz w:val="24"/>
        </w:rPr>
      </w:pPr>
      <w:r w:rsidRPr="0018251A">
        <w:rPr>
          <w:bCs/>
          <w:sz w:val="24"/>
        </w:rPr>
        <w:t xml:space="preserve">Table 2. </w:t>
      </w:r>
      <w:r w:rsidR="00E5417C" w:rsidRPr="0018251A">
        <w:rPr>
          <w:bCs/>
          <w:sz w:val="24"/>
        </w:rPr>
        <w:t>Chi-square</w:t>
      </w:r>
      <w:r w:rsidRPr="0018251A">
        <w:rPr>
          <w:sz w:val="24"/>
        </w:rPr>
        <w:t xml:space="preserve"> test result between gender and public support for mandatory wastewater treatment regulations</w:t>
      </w:r>
    </w:p>
    <w:p w14:paraId="6301EFA2" w14:textId="77777777" w:rsidR="008B0FE6" w:rsidRPr="0018251A" w:rsidRDefault="008B0FE6" w:rsidP="008B0FE6">
      <w:pPr>
        <w:pStyle w:val="TabelSubtitle0"/>
        <w:rPr>
          <w:rFonts w:eastAsia="Aptos"/>
          <w:b/>
          <w:bCs/>
          <w:color w:val="000000" w:themeColor="text1"/>
          <w:sz w:val="24"/>
        </w:rPr>
      </w:pPr>
    </w:p>
    <w:tbl>
      <w:tblPr>
        <w:tblStyle w:val="PlainTable21"/>
        <w:tblW w:w="5376" w:type="dxa"/>
        <w:jc w:val="center"/>
        <w:tblLook w:val="04A0" w:firstRow="1" w:lastRow="0" w:firstColumn="1" w:lastColumn="0" w:noHBand="0" w:noVBand="1"/>
      </w:tblPr>
      <w:tblGrid>
        <w:gridCol w:w="4313"/>
        <w:gridCol w:w="1063"/>
      </w:tblGrid>
      <w:tr w:rsidR="001A516A" w:rsidRPr="0018251A" w14:paraId="0EA17A33" w14:textId="77777777" w:rsidTr="00E5417C">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8D790A" w14:textId="77777777" w:rsidR="001A516A" w:rsidRPr="0018251A" w:rsidRDefault="001A516A" w:rsidP="001A516A">
            <w:pPr>
              <w:rPr>
                <w:b w:val="0"/>
                <w:bCs w:val="0"/>
                <w:sz w:val="24"/>
                <w:szCs w:val="24"/>
                <w:lang w:val="en-US" w:bidi="hi-IN"/>
              </w:rPr>
            </w:pPr>
            <w:r w:rsidRPr="0018251A">
              <w:rPr>
                <w:b w:val="0"/>
                <w:bCs w:val="0"/>
                <w:sz w:val="24"/>
                <w:szCs w:val="24"/>
                <w:lang w:val="en-US" w:bidi="hi-IN"/>
              </w:rPr>
              <w:t>Measure</w:t>
            </w:r>
          </w:p>
        </w:tc>
        <w:tc>
          <w:tcPr>
            <w:tcW w:w="0" w:type="auto"/>
            <w:hideMark/>
          </w:tcPr>
          <w:p w14:paraId="1669572B" w14:textId="77777777" w:rsidR="001A516A" w:rsidRPr="0018251A" w:rsidRDefault="001A516A" w:rsidP="001A516A">
            <w:pPr>
              <w:cnfStyle w:val="100000000000" w:firstRow="1" w:lastRow="0" w:firstColumn="0" w:lastColumn="0" w:oddVBand="0" w:evenVBand="0" w:oddHBand="0" w:evenHBand="0" w:firstRowFirstColumn="0" w:firstRowLastColumn="0" w:lastRowFirstColumn="0" w:lastRowLastColumn="0"/>
              <w:rPr>
                <w:b w:val="0"/>
                <w:bCs w:val="0"/>
                <w:sz w:val="24"/>
                <w:szCs w:val="24"/>
                <w:lang w:val="en-US" w:bidi="hi-IN"/>
              </w:rPr>
            </w:pPr>
            <w:r w:rsidRPr="0018251A">
              <w:rPr>
                <w:b w:val="0"/>
                <w:bCs w:val="0"/>
                <w:sz w:val="24"/>
                <w:szCs w:val="24"/>
                <w:lang w:val="en-US" w:bidi="hi-IN"/>
              </w:rPr>
              <w:t>Value</w:t>
            </w:r>
          </w:p>
        </w:tc>
      </w:tr>
      <w:tr w:rsidR="001A516A" w:rsidRPr="0018251A" w14:paraId="622213FA" w14:textId="77777777" w:rsidTr="00E5417C">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D9A37C" w14:textId="77777777" w:rsidR="001A516A" w:rsidRPr="0018251A" w:rsidRDefault="001A516A" w:rsidP="001A516A">
            <w:pPr>
              <w:rPr>
                <w:b w:val="0"/>
                <w:bCs w:val="0"/>
                <w:sz w:val="24"/>
                <w:szCs w:val="24"/>
                <w:lang w:val="en-US" w:bidi="hi-IN"/>
              </w:rPr>
            </w:pPr>
            <w:r w:rsidRPr="0018251A">
              <w:rPr>
                <w:b w:val="0"/>
                <w:bCs w:val="0"/>
                <w:sz w:val="24"/>
                <w:szCs w:val="24"/>
                <w:lang w:val="en-US" w:bidi="hi-IN"/>
              </w:rPr>
              <w:t>Pearson Chi-Square (χ²)</w:t>
            </w:r>
          </w:p>
        </w:tc>
        <w:tc>
          <w:tcPr>
            <w:tcW w:w="0" w:type="auto"/>
            <w:hideMark/>
          </w:tcPr>
          <w:p w14:paraId="2F61A54A" w14:textId="77777777" w:rsidR="001A516A" w:rsidRPr="0018251A" w:rsidRDefault="001A516A" w:rsidP="001A516A">
            <w:pPr>
              <w:cnfStyle w:val="000000100000" w:firstRow="0" w:lastRow="0" w:firstColumn="0" w:lastColumn="0" w:oddVBand="0" w:evenVBand="0" w:oddHBand="1" w:evenHBand="0" w:firstRowFirstColumn="0" w:firstRowLastColumn="0" w:lastRowFirstColumn="0" w:lastRowLastColumn="0"/>
              <w:rPr>
                <w:sz w:val="24"/>
                <w:szCs w:val="24"/>
                <w:lang w:val="en-US" w:bidi="hi-IN"/>
              </w:rPr>
            </w:pPr>
            <w:r w:rsidRPr="0018251A">
              <w:rPr>
                <w:sz w:val="24"/>
                <w:szCs w:val="24"/>
                <w:lang w:val="en-US" w:bidi="hi-IN"/>
              </w:rPr>
              <w:t>3.480</w:t>
            </w:r>
          </w:p>
        </w:tc>
      </w:tr>
      <w:tr w:rsidR="001A516A" w:rsidRPr="0018251A" w14:paraId="5D6DAA2D" w14:textId="77777777" w:rsidTr="00E5417C">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654F69" w14:textId="77777777" w:rsidR="001A516A" w:rsidRPr="0018251A" w:rsidRDefault="001A516A" w:rsidP="001A516A">
            <w:pPr>
              <w:rPr>
                <w:b w:val="0"/>
                <w:bCs w:val="0"/>
                <w:sz w:val="24"/>
                <w:szCs w:val="24"/>
                <w:lang w:val="en-US" w:bidi="hi-IN"/>
              </w:rPr>
            </w:pPr>
            <w:r w:rsidRPr="0018251A">
              <w:rPr>
                <w:b w:val="0"/>
                <w:bCs w:val="0"/>
                <w:sz w:val="24"/>
                <w:szCs w:val="24"/>
                <w:lang w:val="en-US" w:bidi="hi-IN"/>
              </w:rPr>
              <w:t>Degrees of Freedom (df)</w:t>
            </w:r>
          </w:p>
        </w:tc>
        <w:tc>
          <w:tcPr>
            <w:tcW w:w="0" w:type="auto"/>
            <w:hideMark/>
          </w:tcPr>
          <w:p w14:paraId="59A45712" w14:textId="77777777" w:rsidR="001A516A" w:rsidRPr="0018251A" w:rsidRDefault="001A516A" w:rsidP="001A516A">
            <w:pPr>
              <w:cnfStyle w:val="000000000000" w:firstRow="0" w:lastRow="0" w:firstColumn="0" w:lastColumn="0" w:oddVBand="0" w:evenVBand="0" w:oddHBand="0" w:evenHBand="0" w:firstRowFirstColumn="0" w:firstRowLastColumn="0" w:lastRowFirstColumn="0" w:lastRowLastColumn="0"/>
              <w:rPr>
                <w:sz w:val="24"/>
                <w:szCs w:val="24"/>
                <w:lang w:val="en-US" w:bidi="hi-IN"/>
              </w:rPr>
            </w:pPr>
            <w:r w:rsidRPr="0018251A">
              <w:rPr>
                <w:sz w:val="24"/>
                <w:szCs w:val="24"/>
                <w:lang w:val="en-US" w:bidi="hi-IN"/>
              </w:rPr>
              <w:t>1</w:t>
            </w:r>
          </w:p>
        </w:tc>
      </w:tr>
      <w:tr w:rsidR="001A516A" w:rsidRPr="0018251A" w14:paraId="065405E6" w14:textId="77777777" w:rsidTr="00E5417C">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266EA4" w14:textId="3D90EF9E" w:rsidR="001A516A" w:rsidRPr="0018251A" w:rsidRDefault="008875F2" w:rsidP="001A516A">
            <w:pPr>
              <w:rPr>
                <w:b w:val="0"/>
                <w:bCs w:val="0"/>
                <w:sz w:val="24"/>
                <w:szCs w:val="24"/>
                <w:lang w:val="en-US" w:bidi="hi-IN"/>
              </w:rPr>
            </w:pPr>
            <w:r w:rsidRPr="0018251A">
              <w:rPr>
                <w:b w:val="0"/>
                <w:bCs w:val="0"/>
                <w:color w:val="000000" w:themeColor="text1"/>
                <w:sz w:val="24"/>
                <w:szCs w:val="24"/>
                <w:lang w:val="en-US" w:bidi="hi-IN"/>
              </w:rPr>
              <w:t>p-value (Pearson)</w:t>
            </w:r>
          </w:p>
        </w:tc>
        <w:tc>
          <w:tcPr>
            <w:tcW w:w="0" w:type="auto"/>
            <w:hideMark/>
          </w:tcPr>
          <w:p w14:paraId="046F71CF" w14:textId="1CE6FD82" w:rsidR="001A516A" w:rsidRPr="0018251A" w:rsidRDefault="001A516A" w:rsidP="001A516A">
            <w:pPr>
              <w:cnfStyle w:val="000000100000" w:firstRow="0" w:lastRow="0" w:firstColumn="0" w:lastColumn="0" w:oddVBand="0" w:evenVBand="0" w:oddHBand="1" w:evenHBand="0" w:firstRowFirstColumn="0" w:firstRowLastColumn="0" w:lastRowFirstColumn="0" w:lastRowLastColumn="0"/>
              <w:rPr>
                <w:sz w:val="24"/>
                <w:szCs w:val="24"/>
                <w:lang w:val="en-US" w:bidi="hi-IN"/>
              </w:rPr>
            </w:pPr>
            <w:r w:rsidRPr="0018251A">
              <w:rPr>
                <w:sz w:val="24"/>
                <w:szCs w:val="24"/>
                <w:lang w:val="en-US" w:bidi="hi-IN"/>
              </w:rPr>
              <w:t>0.062</w:t>
            </w:r>
          </w:p>
        </w:tc>
      </w:tr>
      <w:tr w:rsidR="001A516A" w:rsidRPr="0018251A" w14:paraId="55A1CB59" w14:textId="77777777" w:rsidTr="00E5417C">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2EB9F" w14:textId="42711DA8" w:rsidR="001A516A" w:rsidRPr="0018251A" w:rsidRDefault="008875F2" w:rsidP="001A516A">
            <w:pPr>
              <w:rPr>
                <w:b w:val="0"/>
                <w:bCs w:val="0"/>
                <w:sz w:val="24"/>
                <w:szCs w:val="24"/>
                <w:lang w:val="en-US" w:bidi="hi-IN"/>
              </w:rPr>
            </w:pPr>
            <w:r w:rsidRPr="0018251A">
              <w:rPr>
                <w:b w:val="0"/>
                <w:bCs w:val="0"/>
                <w:color w:val="000000" w:themeColor="text1"/>
                <w:sz w:val="24"/>
                <w:szCs w:val="24"/>
                <w:lang w:val="en-US" w:bidi="hi-IN"/>
              </w:rPr>
              <w:t>p-value (Likelihood Ratio)</w:t>
            </w:r>
          </w:p>
        </w:tc>
        <w:tc>
          <w:tcPr>
            <w:tcW w:w="0" w:type="auto"/>
            <w:hideMark/>
          </w:tcPr>
          <w:p w14:paraId="33C60CE7" w14:textId="76B4881B" w:rsidR="001A516A" w:rsidRPr="0018251A" w:rsidRDefault="008875F2" w:rsidP="001A516A">
            <w:pPr>
              <w:cnfStyle w:val="000000000000" w:firstRow="0" w:lastRow="0" w:firstColumn="0" w:lastColumn="0" w:oddVBand="0" w:evenVBand="0" w:oddHBand="0" w:evenHBand="0" w:firstRowFirstColumn="0" w:firstRowLastColumn="0" w:lastRowFirstColumn="0" w:lastRowLastColumn="0"/>
              <w:rPr>
                <w:sz w:val="24"/>
                <w:szCs w:val="24"/>
                <w:lang w:val="en-US" w:bidi="hi-IN"/>
              </w:rPr>
            </w:pPr>
            <w:r w:rsidRPr="0018251A">
              <w:rPr>
                <w:sz w:val="24"/>
                <w:szCs w:val="24"/>
                <w:lang w:val="en-US" w:bidi="hi-IN"/>
              </w:rPr>
              <w:t>0.066</w:t>
            </w:r>
          </w:p>
        </w:tc>
      </w:tr>
      <w:tr w:rsidR="001A516A" w:rsidRPr="0018251A" w14:paraId="45120807" w14:textId="77777777" w:rsidTr="00E5417C">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516FBB" w14:textId="77777777" w:rsidR="001A516A" w:rsidRPr="0018251A" w:rsidRDefault="001A516A" w:rsidP="001A516A">
            <w:pPr>
              <w:rPr>
                <w:b w:val="0"/>
                <w:bCs w:val="0"/>
                <w:sz w:val="24"/>
                <w:szCs w:val="24"/>
                <w:lang w:val="en-US" w:bidi="hi-IN"/>
              </w:rPr>
            </w:pPr>
            <w:r w:rsidRPr="0018251A">
              <w:rPr>
                <w:b w:val="0"/>
                <w:bCs w:val="0"/>
                <w:sz w:val="24"/>
                <w:szCs w:val="24"/>
                <w:lang w:val="en-US" w:bidi="hi-IN"/>
              </w:rPr>
              <w:t>Cramér’s V (Effect Size)</w:t>
            </w:r>
          </w:p>
        </w:tc>
        <w:tc>
          <w:tcPr>
            <w:tcW w:w="0" w:type="auto"/>
            <w:hideMark/>
          </w:tcPr>
          <w:p w14:paraId="01383879" w14:textId="77777777" w:rsidR="001A516A" w:rsidRPr="0018251A" w:rsidRDefault="001A516A" w:rsidP="001A516A">
            <w:pPr>
              <w:cnfStyle w:val="000000100000" w:firstRow="0" w:lastRow="0" w:firstColumn="0" w:lastColumn="0" w:oddVBand="0" w:evenVBand="0" w:oddHBand="1" w:evenHBand="0" w:firstRowFirstColumn="0" w:firstRowLastColumn="0" w:lastRowFirstColumn="0" w:lastRowLastColumn="0"/>
              <w:rPr>
                <w:sz w:val="24"/>
                <w:szCs w:val="24"/>
                <w:lang w:val="en-US" w:bidi="hi-IN"/>
              </w:rPr>
            </w:pPr>
            <w:r w:rsidRPr="0018251A">
              <w:rPr>
                <w:sz w:val="24"/>
                <w:szCs w:val="24"/>
                <w:lang w:val="en-US" w:bidi="hi-IN"/>
              </w:rPr>
              <w:t>0.129</w:t>
            </w:r>
          </w:p>
        </w:tc>
      </w:tr>
      <w:tr w:rsidR="001A516A" w:rsidRPr="0018251A" w14:paraId="1F33D859" w14:textId="77777777" w:rsidTr="00E5417C">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CAC457" w14:textId="77777777" w:rsidR="001A516A" w:rsidRPr="0018251A" w:rsidRDefault="001A516A" w:rsidP="001A516A">
            <w:pPr>
              <w:rPr>
                <w:b w:val="0"/>
                <w:bCs w:val="0"/>
                <w:sz w:val="24"/>
                <w:szCs w:val="24"/>
                <w:lang w:val="en-US" w:bidi="hi-IN"/>
              </w:rPr>
            </w:pPr>
            <w:r w:rsidRPr="0018251A">
              <w:rPr>
                <w:b w:val="0"/>
                <w:bCs w:val="0"/>
                <w:sz w:val="24"/>
                <w:szCs w:val="24"/>
                <w:lang w:val="en-US" w:bidi="hi-IN"/>
              </w:rPr>
              <w:t>Cells with Expected Counts &lt;5</w:t>
            </w:r>
          </w:p>
        </w:tc>
        <w:tc>
          <w:tcPr>
            <w:tcW w:w="0" w:type="auto"/>
            <w:hideMark/>
          </w:tcPr>
          <w:p w14:paraId="00DB289B" w14:textId="77777777" w:rsidR="001A516A" w:rsidRPr="0018251A" w:rsidRDefault="001A516A" w:rsidP="001A516A">
            <w:pPr>
              <w:cnfStyle w:val="000000000000" w:firstRow="0" w:lastRow="0" w:firstColumn="0" w:lastColumn="0" w:oddVBand="0" w:evenVBand="0" w:oddHBand="0" w:evenHBand="0" w:firstRowFirstColumn="0" w:firstRowLastColumn="0" w:lastRowFirstColumn="0" w:lastRowLastColumn="0"/>
              <w:rPr>
                <w:sz w:val="24"/>
                <w:szCs w:val="24"/>
                <w:lang w:val="en-US" w:bidi="hi-IN"/>
              </w:rPr>
            </w:pPr>
            <w:r w:rsidRPr="0018251A">
              <w:rPr>
                <w:sz w:val="24"/>
                <w:szCs w:val="24"/>
                <w:lang w:val="en-US" w:bidi="hi-IN"/>
              </w:rPr>
              <w:t>0%</w:t>
            </w:r>
          </w:p>
        </w:tc>
      </w:tr>
      <w:tr w:rsidR="001A516A" w:rsidRPr="0018251A" w14:paraId="5FF714F9" w14:textId="77777777" w:rsidTr="00E5417C">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FF8ACD" w14:textId="77777777" w:rsidR="001A516A" w:rsidRPr="0018251A" w:rsidRDefault="001A516A" w:rsidP="001A516A">
            <w:pPr>
              <w:rPr>
                <w:b w:val="0"/>
                <w:bCs w:val="0"/>
                <w:sz w:val="24"/>
                <w:szCs w:val="24"/>
                <w:lang w:val="en-US" w:bidi="hi-IN"/>
              </w:rPr>
            </w:pPr>
            <w:r w:rsidRPr="0018251A">
              <w:rPr>
                <w:b w:val="0"/>
                <w:bCs w:val="0"/>
                <w:sz w:val="24"/>
                <w:szCs w:val="24"/>
                <w:lang w:val="en-US" w:bidi="hi-IN"/>
              </w:rPr>
              <w:t>Minimum Expected Count</w:t>
            </w:r>
          </w:p>
        </w:tc>
        <w:tc>
          <w:tcPr>
            <w:tcW w:w="0" w:type="auto"/>
            <w:hideMark/>
          </w:tcPr>
          <w:p w14:paraId="407CA45A" w14:textId="77777777" w:rsidR="001A516A" w:rsidRPr="0018251A" w:rsidRDefault="001A516A" w:rsidP="001A516A">
            <w:pPr>
              <w:cnfStyle w:val="000000100000" w:firstRow="0" w:lastRow="0" w:firstColumn="0" w:lastColumn="0" w:oddVBand="0" w:evenVBand="0" w:oddHBand="1" w:evenHBand="0" w:firstRowFirstColumn="0" w:firstRowLastColumn="0" w:lastRowFirstColumn="0" w:lastRowLastColumn="0"/>
              <w:rPr>
                <w:sz w:val="24"/>
                <w:szCs w:val="24"/>
                <w:lang w:val="en-US" w:bidi="hi-IN"/>
              </w:rPr>
            </w:pPr>
            <w:r w:rsidRPr="0018251A">
              <w:rPr>
                <w:sz w:val="24"/>
                <w:szCs w:val="24"/>
                <w:lang w:val="en-US" w:bidi="hi-IN"/>
              </w:rPr>
              <w:t>14.81</w:t>
            </w:r>
          </w:p>
        </w:tc>
      </w:tr>
    </w:tbl>
    <w:p w14:paraId="7F71CE66" w14:textId="77777777" w:rsidR="008B0FE6" w:rsidRPr="0018251A" w:rsidRDefault="008B0FE6" w:rsidP="008B0FE6">
      <w:pPr>
        <w:jc w:val="both"/>
        <w:rPr>
          <w:rFonts w:eastAsia="Aptos"/>
          <w:color w:val="000000" w:themeColor="text1"/>
          <w:sz w:val="24"/>
          <w:szCs w:val="24"/>
        </w:rPr>
      </w:pPr>
    </w:p>
    <w:p w14:paraId="5C985350" w14:textId="341C3437" w:rsidR="008B0FE6" w:rsidRPr="0018251A" w:rsidRDefault="008B0FE6" w:rsidP="00E5417C">
      <w:pPr>
        <w:spacing w:line="360" w:lineRule="auto"/>
        <w:jc w:val="both"/>
        <w:rPr>
          <w:rFonts w:eastAsia="Aptos"/>
          <w:b/>
          <w:bCs/>
          <w:color w:val="000000" w:themeColor="text1"/>
          <w:sz w:val="24"/>
          <w:szCs w:val="24"/>
        </w:rPr>
      </w:pPr>
      <w:r w:rsidRPr="0018251A">
        <w:rPr>
          <w:rFonts w:eastAsia="Aptos"/>
          <w:color w:val="000000" w:themeColor="text1"/>
          <w:sz w:val="24"/>
          <w:szCs w:val="24"/>
        </w:rPr>
        <w:lastRenderedPageBreak/>
        <w:t>From Table 3, it is evident that the Chi-Square test revealed a statistically significant association between occupation level and awareness of water pollution caused by the textile industry (χ² = 49.780, df = 4, p &lt; 0.001). The Likelihood Ratio test corroborated this result (p &lt; 0.001). The effect size, measured by Cramér’s V (0.489), indicates a strong association between the variables. However, 40% of cells had expected counts below 5 (minimum = 1.08), violating the Chi-Square assumptions and potentially undermining result reliability. Despite this limitation, the analysis suggests that occupational hierarchy significantly correlates with awareness of industrial water pollution, likely reflecting disparities in access to information or responsibility levels within the sector.</w:t>
      </w:r>
    </w:p>
    <w:p w14:paraId="1E2DA865" w14:textId="77777777" w:rsidR="001A516A" w:rsidRPr="0018251A" w:rsidRDefault="001A516A" w:rsidP="00580C5A">
      <w:pPr>
        <w:ind w:left="360"/>
        <w:rPr>
          <w:rFonts w:eastAsia="Aptos"/>
          <w:color w:val="000000" w:themeColor="text1"/>
          <w:sz w:val="24"/>
          <w:szCs w:val="24"/>
        </w:rPr>
      </w:pPr>
    </w:p>
    <w:p w14:paraId="52571BB5" w14:textId="7EFC55D8" w:rsidR="00CA2D90" w:rsidRPr="0018251A" w:rsidRDefault="008B0FE6" w:rsidP="008B0FE6">
      <w:pPr>
        <w:pStyle w:val="TabelSubtitle0"/>
        <w:rPr>
          <w:bCs/>
          <w:sz w:val="24"/>
        </w:rPr>
      </w:pPr>
      <w:r w:rsidRPr="0018251A">
        <w:rPr>
          <w:bCs/>
          <w:sz w:val="24"/>
        </w:rPr>
        <w:t>Table 3. Chi-Square test result between occupation level and awareness of textile industry water pollution</w:t>
      </w:r>
    </w:p>
    <w:p w14:paraId="202235D6" w14:textId="77777777" w:rsidR="008B0FE6" w:rsidRPr="0018251A" w:rsidRDefault="008B0FE6" w:rsidP="008B0FE6">
      <w:pPr>
        <w:pStyle w:val="TabelSubtitle0"/>
        <w:rPr>
          <w:rFonts w:eastAsia="Aptos"/>
          <w:bCs/>
          <w:color w:val="000000" w:themeColor="text1"/>
          <w:sz w:val="24"/>
        </w:rPr>
      </w:pPr>
    </w:p>
    <w:tbl>
      <w:tblPr>
        <w:tblStyle w:val="PlainTable21"/>
        <w:tblW w:w="5985" w:type="dxa"/>
        <w:jc w:val="center"/>
        <w:tblLook w:val="04A0" w:firstRow="1" w:lastRow="0" w:firstColumn="1" w:lastColumn="0" w:noHBand="0" w:noVBand="1"/>
      </w:tblPr>
      <w:tblGrid>
        <w:gridCol w:w="4700"/>
        <w:gridCol w:w="1285"/>
      </w:tblGrid>
      <w:tr w:rsidR="00CA2D90" w:rsidRPr="0018251A" w14:paraId="6773F3D2" w14:textId="77777777" w:rsidTr="00E5417C">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FE26ED" w14:textId="77777777" w:rsidR="00CA2D90" w:rsidRPr="0018251A" w:rsidRDefault="00CA2D90" w:rsidP="00CA2D90">
            <w:pPr>
              <w:rPr>
                <w:b w:val="0"/>
                <w:color w:val="000000" w:themeColor="text1"/>
                <w:sz w:val="24"/>
                <w:szCs w:val="24"/>
                <w:lang w:val="en-US" w:bidi="hi-IN"/>
              </w:rPr>
            </w:pPr>
            <w:r w:rsidRPr="0018251A">
              <w:rPr>
                <w:b w:val="0"/>
                <w:color w:val="000000" w:themeColor="text1"/>
                <w:sz w:val="24"/>
                <w:szCs w:val="24"/>
                <w:lang w:val="en-US" w:bidi="hi-IN"/>
              </w:rPr>
              <w:t>Measure</w:t>
            </w:r>
          </w:p>
        </w:tc>
        <w:tc>
          <w:tcPr>
            <w:tcW w:w="0" w:type="auto"/>
            <w:hideMark/>
          </w:tcPr>
          <w:p w14:paraId="0D280AD3" w14:textId="77777777" w:rsidR="00CA2D90" w:rsidRPr="0018251A" w:rsidRDefault="00CA2D90" w:rsidP="00CA2D90">
            <w:pP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lang w:val="en-US" w:bidi="hi-IN"/>
              </w:rPr>
            </w:pPr>
            <w:r w:rsidRPr="0018251A">
              <w:rPr>
                <w:b w:val="0"/>
                <w:color w:val="000000" w:themeColor="text1"/>
                <w:sz w:val="24"/>
                <w:szCs w:val="24"/>
                <w:lang w:val="en-US" w:bidi="hi-IN"/>
              </w:rPr>
              <w:t>Value</w:t>
            </w:r>
          </w:p>
        </w:tc>
      </w:tr>
      <w:tr w:rsidR="00CA2D90" w:rsidRPr="0018251A" w14:paraId="1E5D7E1D" w14:textId="77777777" w:rsidTr="00E5417C">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5DBB71" w14:textId="77777777" w:rsidR="00CA2D90" w:rsidRPr="0018251A" w:rsidRDefault="00CA2D90" w:rsidP="00CA2D90">
            <w:pPr>
              <w:rPr>
                <w:b w:val="0"/>
                <w:bCs w:val="0"/>
                <w:color w:val="000000" w:themeColor="text1"/>
                <w:sz w:val="24"/>
                <w:szCs w:val="24"/>
                <w:lang w:val="en-US" w:bidi="hi-IN"/>
              </w:rPr>
            </w:pPr>
            <w:r w:rsidRPr="0018251A">
              <w:rPr>
                <w:b w:val="0"/>
                <w:bCs w:val="0"/>
                <w:color w:val="000000" w:themeColor="text1"/>
                <w:sz w:val="24"/>
                <w:szCs w:val="24"/>
                <w:lang w:val="en-US" w:bidi="hi-IN"/>
              </w:rPr>
              <w:t>Pearson Chi-Square (χ²)</w:t>
            </w:r>
          </w:p>
        </w:tc>
        <w:tc>
          <w:tcPr>
            <w:tcW w:w="0" w:type="auto"/>
            <w:hideMark/>
          </w:tcPr>
          <w:p w14:paraId="34ECDD6E" w14:textId="77777777" w:rsidR="00CA2D90" w:rsidRPr="0018251A" w:rsidRDefault="00CA2D90" w:rsidP="00CA2D90">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49.780</w:t>
            </w:r>
          </w:p>
        </w:tc>
      </w:tr>
      <w:tr w:rsidR="00CA2D90" w:rsidRPr="0018251A" w14:paraId="456A4AE5" w14:textId="77777777" w:rsidTr="00E5417C">
        <w:trPr>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BBE8A5" w14:textId="77777777" w:rsidR="00CA2D90" w:rsidRPr="0018251A" w:rsidRDefault="00CA2D90" w:rsidP="00CA2D90">
            <w:pPr>
              <w:rPr>
                <w:b w:val="0"/>
                <w:bCs w:val="0"/>
                <w:color w:val="000000" w:themeColor="text1"/>
                <w:sz w:val="24"/>
                <w:szCs w:val="24"/>
                <w:lang w:val="en-US" w:bidi="hi-IN"/>
              </w:rPr>
            </w:pPr>
            <w:r w:rsidRPr="0018251A">
              <w:rPr>
                <w:b w:val="0"/>
                <w:bCs w:val="0"/>
                <w:color w:val="000000" w:themeColor="text1"/>
                <w:sz w:val="24"/>
                <w:szCs w:val="24"/>
                <w:lang w:val="en-US" w:bidi="hi-IN"/>
              </w:rPr>
              <w:t>Degrees of Freedom (df)</w:t>
            </w:r>
          </w:p>
        </w:tc>
        <w:tc>
          <w:tcPr>
            <w:tcW w:w="0" w:type="auto"/>
            <w:hideMark/>
          </w:tcPr>
          <w:p w14:paraId="5AD8A7B4" w14:textId="77777777" w:rsidR="00CA2D90" w:rsidRPr="0018251A" w:rsidRDefault="00CA2D90" w:rsidP="00CA2D90">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4</w:t>
            </w:r>
          </w:p>
        </w:tc>
      </w:tr>
      <w:tr w:rsidR="008875F2" w:rsidRPr="0018251A" w14:paraId="2725536E" w14:textId="77777777" w:rsidTr="00E5417C">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C80996" w14:textId="085CE0F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p-value (Pearson)</w:t>
            </w:r>
          </w:p>
        </w:tc>
        <w:tc>
          <w:tcPr>
            <w:tcW w:w="0" w:type="auto"/>
            <w:hideMark/>
          </w:tcPr>
          <w:p w14:paraId="2A248387" w14:textId="5AD2209E"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0.000</w:t>
            </w:r>
          </w:p>
        </w:tc>
      </w:tr>
      <w:tr w:rsidR="008875F2" w:rsidRPr="0018251A" w14:paraId="08C05455" w14:textId="77777777" w:rsidTr="00E5417C">
        <w:trPr>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EDC6B" w14:textId="268621CD" w:rsidR="008875F2" w:rsidRPr="0018251A" w:rsidRDefault="008875F2" w:rsidP="008875F2">
            <w:pPr>
              <w:rPr>
                <w:b w:val="0"/>
                <w:bCs w:val="0"/>
                <w:sz w:val="24"/>
                <w:szCs w:val="24"/>
                <w:lang w:val="en-US" w:bidi="hi-IN"/>
              </w:rPr>
            </w:pPr>
            <w:r w:rsidRPr="0018251A">
              <w:rPr>
                <w:b w:val="0"/>
                <w:bCs w:val="0"/>
                <w:color w:val="000000" w:themeColor="text1"/>
                <w:sz w:val="24"/>
                <w:szCs w:val="24"/>
                <w:lang w:val="en-US" w:bidi="hi-IN"/>
              </w:rPr>
              <w:t>p-value (Likelihood Ratio)</w:t>
            </w:r>
          </w:p>
        </w:tc>
        <w:tc>
          <w:tcPr>
            <w:tcW w:w="0" w:type="auto"/>
            <w:hideMark/>
          </w:tcPr>
          <w:p w14:paraId="153AB862" w14:textId="22208885"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sz w:val="24"/>
                <w:szCs w:val="24"/>
                <w:lang w:val="en-US" w:bidi="hi-IN"/>
              </w:rPr>
            </w:pPr>
            <w:r w:rsidRPr="0018251A">
              <w:rPr>
                <w:sz w:val="24"/>
                <w:szCs w:val="24"/>
                <w:lang w:val="en-US" w:bidi="hi-IN"/>
              </w:rPr>
              <w:t>0.000</w:t>
            </w:r>
          </w:p>
        </w:tc>
      </w:tr>
      <w:tr w:rsidR="008875F2" w:rsidRPr="0018251A" w14:paraId="028DA49A" w14:textId="77777777" w:rsidTr="00E5417C">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E7741"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Cramér’s V (Effect Size)</w:t>
            </w:r>
          </w:p>
        </w:tc>
        <w:tc>
          <w:tcPr>
            <w:tcW w:w="0" w:type="auto"/>
            <w:hideMark/>
          </w:tcPr>
          <w:p w14:paraId="0631DFB8" w14:textId="77777777"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0.489</w:t>
            </w:r>
          </w:p>
        </w:tc>
      </w:tr>
      <w:tr w:rsidR="008875F2" w:rsidRPr="0018251A" w14:paraId="24BE2936" w14:textId="77777777" w:rsidTr="00E5417C">
        <w:trPr>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F06BC2"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Cells with Expected Counts &lt;5</w:t>
            </w:r>
          </w:p>
        </w:tc>
        <w:tc>
          <w:tcPr>
            <w:tcW w:w="0" w:type="auto"/>
            <w:hideMark/>
          </w:tcPr>
          <w:p w14:paraId="3862B3B7" w14:textId="77777777"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40%</w:t>
            </w:r>
          </w:p>
        </w:tc>
      </w:tr>
      <w:tr w:rsidR="008875F2" w:rsidRPr="0018251A" w14:paraId="7FD97EC7" w14:textId="77777777" w:rsidTr="00E5417C">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3FC8BF"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Minimum Expected Count</w:t>
            </w:r>
          </w:p>
        </w:tc>
        <w:tc>
          <w:tcPr>
            <w:tcW w:w="0" w:type="auto"/>
            <w:hideMark/>
          </w:tcPr>
          <w:p w14:paraId="60050FD7" w14:textId="77777777"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1.08</w:t>
            </w:r>
          </w:p>
        </w:tc>
      </w:tr>
    </w:tbl>
    <w:p w14:paraId="55E182B1" w14:textId="77777777" w:rsidR="00CA2D90" w:rsidRPr="0018251A" w:rsidRDefault="00CA2D90" w:rsidP="00CA2D90">
      <w:pPr>
        <w:rPr>
          <w:sz w:val="24"/>
          <w:szCs w:val="24"/>
          <w:lang w:val="en-US" w:bidi="hi-IN"/>
        </w:rPr>
      </w:pPr>
    </w:p>
    <w:p w14:paraId="0298470F" w14:textId="121F45B4" w:rsidR="008875F2" w:rsidRPr="0018251A" w:rsidRDefault="008875F2" w:rsidP="00E5417C">
      <w:pPr>
        <w:spacing w:line="360" w:lineRule="auto"/>
        <w:jc w:val="both"/>
        <w:rPr>
          <w:rFonts w:eastAsia="Aptos"/>
          <w:color w:val="000000" w:themeColor="text1"/>
          <w:sz w:val="24"/>
          <w:szCs w:val="24"/>
        </w:rPr>
      </w:pPr>
      <w:r w:rsidRPr="0018251A">
        <w:rPr>
          <w:rFonts w:eastAsia="Aptos"/>
          <w:color w:val="000000" w:themeColor="text1"/>
          <w:sz w:val="24"/>
          <w:szCs w:val="24"/>
        </w:rPr>
        <w:t>In Table 4, the Chi-Square test revealed a statistically significant association between occupation level and familiarity with Zero Liquid Discharge (ZLD) (χ² = 12.506, df = 3, p = 0.006). The Likelihood Ratio test corroborated this finding (p = 0.003). The effect size, measured by Cramér’s V (0.245), indicates a moderate association between the variables. However, 25% of cells had expected counts below 5 (minimum = 1.44), violating the Chi-Square assumption and potentially affecting result reliability. Despite this limitation, the analysis suggests that higher occupational roles (e.g., senior/top levels) are significantly more likely to be familiar with ZLD, reflecting disparities in technical knowledge or access to sustainability initiatives across hierarchical tiers.</w:t>
      </w:r>
    </w:p>
    <w:p w14:paraId="411D8ECB" w14:textId="77777777" w:rsidR="008875F2" w:rsidRPr="0018251A" w:rsidRDefault="008875F2" w:rsidP="008875F2">
      <w:pPr>
        <w:jc w:val="both"/>
        <w:rPr>
          <w:rFonts w:eastAsia="Aptos"/>
          <w:color w:val="000000" w:themeColor="text1"/>
          <w:sz w:val="24"/>
          <w:szCs w:val="24"/>
        </w:rPr>
      </w:pPr>
    </w:p>
    <w:p w14:paraId="3B673CE7" w14:textId="67471655" w:rsidR="008875F2" w:rsidRPr="0018251A" w:rsidRDefault="008875F2" w:rsidP="006653AA">
      <w:pPr>
        <w:pStyle w:val="TabelSubtitle0"/>
        <w:rPr>
          <w:sz w:val="24"/>
        </w:rPr>
      </w:pPr>
      <w:r w:rsidRPr="0018251A">
        <w:rPr>
          <w:sz w:val="24"/>
        </w:rPr>
        <w:t>Table 4. Chi-Square test result between occupation level and familiarity with Zero Liquid Discharge (ZLD)</w:t>
      </w:r>
    </w:p>
    <w:p w14:paraId="3BFCC60F" w14:textId="77777777" w:rsidR="006653AA" w:rsidRPr="0018251A" w:rsidRDefault="006653AA" w:rsidP="006653AA">
      <w:pPr>
        <w:pStyle w:val="TabelSubtitle0"/>
        <w:rPr>
          <w:sz w:val="24"/>
        </w:rPr>
      </w:pPr>
    </w:p>
    <w:tbl>
      <w:tblPr>
        <w:tblStyle w:val="PlainTable21"/>
        <w:tblW w:w="5372" w:type="dxa"/>
        <w:jc w:val="center"/>
        <w:tblLook w:val="04A0" w:firstRow="1" w:lastRow="0" w:firstColumn="1" w:lastColumn="0" w:noHBand="0" w:noVBand="1"/>
      </w:tblPr>
      <w:tblGrid>
        <w:gridCol w:w="4219"/>
        <w:gridCol w:w="1153"/>
      </w:tblGrid>
      <w:tr w:rsidR="008875F2" w:rsidRPr="0018251A" w14:paraId="73F392B0" w14:textId="77777777" w:rsidTr="00E5417C">
        <w:trPr>
          <w:cnfStyle w:val="100000000000" w:firstRow="1" w:lastRow="0" w:firstColumn="0" w:lastColumn="0" w:oddVBand="0" w:evenVBand="0" w:oddHBand="0"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DE3028"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Measure</w:t>
            </w:r>
          </w:p>
        </w:tc>
        <w:tc>
          <w:tcPr>
            <w:tcW w:w="0" w:type="auto"/>
            <w:hideMark/>
          </w:tcPr>
          <w:p w14:paraId="53EA5B67" w14:textId="77777777" w:rsidR="008875F2" w:rsidRPr="0018251A" w:rsidRDefault="008875F2" w:rsidP="008875F2">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en-US" w:bidi="hi-IN"/>
              </w:rPr>
            </w:pPr>
            <w:r w:rsidRPr="0018251A">
              <w:rPr>
                <w:b w:val="0"/>
                <w:bCs w:val="0"/>
                <w:color w:val="000000" w:themeColor="text1"/>
                <w:sz w:val="24"/>
                <w:szCs w:val="24"/>
                <w:lang w:val="en-US" w:bidi="hi-IN"/>
              </w:rPr>
              <w:t>Value</w:t>
            </w:r>
          </w:p>
        </w:tc>
      </w:tr>
      <w:tr w:rsidR="008875F2" w:rsidRPr="0018251A" w14:paraId="2472F0C2" w14:textId="77777777" w:rsidTr="00E5417C">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4F70F5"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Pearson Chi-Square (χ²)</w:t>
            </w:r>
          </w:p>
        </w:tc>
        <w:tc>
          <w:tcPr>
            <w:tcW w:w="0" w:type="auto"/>
            <w:hideMark/>
          </w:tcPr>
          <w:p w14:paraId="1CAD4CFC" w14:textId="77777777"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12.506</w:t>
            </w:r>
          </w:p>
        </w:tc>
      </w:tr>
      <w:tr w:rsidR="008875F2" w:rsidRPr="0018251A" w14:paraId="70C7765C" w14:textId="77777777" w:rsidTr="00E5417C">
        <w:trPr>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8B00AA"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Likelihood Ratio (χ²)</w:t>
            </w:r>
          </w:p>
        </w:tc>
        <w:tc>
          <w:tcPr>
            <w:tcW w:w="0" w:type="auto"/>
            <w:hideMark/>
          </w:tcPr>
          <w:p w14:paraId="37A570D2" w14:textId="77777777"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13.784</w:t>
            </w:r>
          </w:p>
        </w:tc>
      </w:tr>
      <w:tr w:rsidR="008875F2" w:rsidRPr="0018251A" w14:paraId="4AFE3E6D" w14:textId="77777777" w:rsidTr="00E5417C">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1494AB"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Degrees of Freedom (df)</w:t>
            </w:r>
          </w:p>
        </w:tc>
        <w:tc>
          <w:tcPr>
            <w:tcW w:w="0" w:type="auto"/>
            <w:hideMark/>
          </w:tcPr>
          <w:p w14:paraId="43983784" w14:textId="77777777"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3</w:t>
            </w:r>
          </w:p>
        </w:tc>
      </w:tr>
      <w:tr w:rsidR="008875F2" w:rsidRPr="0018251A" w14:paraId="57DE67FC" w14:textId="77777777" w:rsidTr="00E5417C">
        <w:trPr>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DAFF8"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lastRenderedPageBreak/>
              <w:t>p-value (Pearson)</w:t>
            </w:r>
          </w:p>
        </w:tc>
        <w:tc>
          <w:tcPr>
            <w:tcW w:w="0" w:type="auto"/>
            <w:hideMark/>
          </w:tcPr>
          <w:p w14:paraId="204484CD" w14:textId="77777777"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0.006</w:t>
            </w:r>
          </w:p>
        </w:tc>
      </w:tr>
      <w:tr w:rsidR="008875F2" w:rsidRPr="0018251A" w14:paraId="1501A06A" w14:textId="77777777" w:rsidTr="00E5417C">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481547"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p-value (Likelihood Ratio)</w:t>
            </w:r>
          </w:p>
        </w:tc>
        <w:tc>
          <w:tcPr>
            <w:tcW w:w="0" w:type="auto"/>
            <w:hideMark/>
          </w:tcPr>
          <w:p w14:paraId="0A64F965" w14:textId="2B1BB71A"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0.003</w:t>
            </w:r>
          </w:p>
        </w:tc>
      </w:tr>
      <w:tr w:rsidR="008875F2" w:rsidRPr="0018251A" w14:paraId="6777994C" w14:textId="77777777" w:rsidTr="00E5417C">
        <w:trPr>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73AFFC"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Cramér’s V (Effect Size)</w:t>
            </w:r>
          </w:p>
        </w:tc>
        <w:tc>
          <w:tcPr>
            <w:tcW w:w="0" w:type="auto"/>
            <w:hideMark/>
          </w:tcPr>
          <w:p w14:paraId="43336091" w14:textId="77777777"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0.245</w:t>
            </w:r>
          </w:p>
        </w:tc>
      </w:tr>
      <w:tr w:rsidR="008875F2" w:rsidRPr="0018251A" w14:paraId="7FB0D53A" w14:textId="77777777" w:rsidTr="00E5417C">
        <w:trPr>
          <w:cnfStyle w:val="000000100000" w:firstRow="0" w:lastRow="0" w:firstColumn="0" w:lastColumn="0" w:oddVBand="0" w:evenVBand="0" w:oddHBand="1"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40F7E9"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Cells with Expected Counts &lt;5</w:t>
            </w:r>
          </w:p>
        </w:tc>
        <w:tc>
          <w:tcPr>
            <w:tcW w:w="0" w:type="auto"/>
            <w:hideMark/>
          </w:tcPr>
          <w:p w14:paraId="417396C9" w14:textId="77777777" w:rsidR="008875F2" w:rsidRPr="0018251A" w:rsidRDefault="008875F2" w:rsidP="008875F2">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25%</w:t>
            </w:r>
          </w:p>
        </w:tc>
      </w:tr>
      <w:tr w:rsidR="008875F2" w:rsidRPr="0018251A" w14:paraId="67971548" w14:textId="77777777" w:rsidTr="00E5417C">
        <w:trPr>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F10815" w14:textId="77777777" w:rsidR="008875F2" w:rsidRPr="0018251A" w:rsidRDefault="008875F2" w:rsidP="008875F2">
            <w:pPr>
              <w:rPr>
                <w:b w:val="0"/>
                <w:bCs w:val="0"/>
                <w:color w:val="000000" w:themeColor="text1"/>
                <w:sz w:val="24"/>
                <w:szCs w:val="24"/>
                <w:lang w:val="en-US" w:bidi="hi-IN"/>
              </w:rPr>
            </w:pPr>
            <w:r w:rsidRPr="0018251A">
              <w:rPr>
                <w:b w:val="0"/>
                <w:bCs w:val="0"/>
                <w:color w:val="000000" w:themeColor="text1"/>
                <w:sz w:val="24"/>
                <w:szCs w:val="24"/>
                <w:lang w:val="en-US" w:bidi="hi-IN"/>
              </w:rPr>
              <w:t>Minimum Expected Count</w:t>
            </w:r>
          </w:p>
        </w:tc>
        <w:tc>
          <w:tcPr>
            <w:tcW w:w="0" w:type="auto"/>
            <w:hideMark/>
          </w:tcPr>
          <w:p w14:paraId="62CFEAC3" w14:textId="77777777" w:rsidR="008875F2" w:rsidRPr="0018251A" w:rsidRDefault="008875F2" w:rsidP="008875F2">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1.44</w:t>
            </w:r>
          </w:p>
        </w:tc>
      </w:tr>
    </w:tbl>
    <w:p w14:paraId="346CA9AA" w14:textId="77777777" w:rsidR="008875F2" w:rsidRPr="0018251A" w:rsidRDefault="008875F2" w:rsidP="00CA2D90">
      <w:pPr>
        <w:rPr>
          <w:sz w:val="24"/>
          <w:szCs w:val="24"/>
          <w:lang w:val="en-US" w:bidi="hi-IN"/>
        </w:rPr>
      </w:pPr>
    </w:p>
    <w:p w14:paraId="3FB1A44E" w14:textId="77777777" w:rsidR="00CD2D38" w:rsidRPr="0018251A" w:rsidRDefault="006653AA" w:rsidP="00E5417C">
      <w:pPr>
        <w:spacing w:line="360" w:lineRule="auto"/>
        <w:jc w:val="both"/>
        <w:rPr>
          <w:rFonts w:eastAsia="Aptos"/>
          <w:color w:val="000000" w:themeColor="text1"/>
          <w:sz w:val="24"/>
          <w:szCs w:val="24"/>
        </w:rPr>
      </w:pPr>
      <w:r w:rsidRPr="0018251A">
        <w:rPr>
          <w:rFonts w:eastAsia="Aptos"/>
          <w:color w:val="000000" w:themeColor="text1"/>
          <w:sz w:val="24"/>
          <w:szCs w:val="24"/>
        </w:rPr>
        <w:t xml:space="preserve">In Table 5, the binary logistic regression evaluated factors influencing willingness to pay more for sustainably produced textiles. The model explained 10.3% (Cox &amp; Snell R²) to 15.0% (Nagelkerke R²) of the variance and correctly classified 76.9% of cases. </w:t>
      </w:r>
    </w:p>
    <w:p w14:paraId="4242462B" w14:textId="77777777" w:rsidR="00E5417C" w:rsidRPr="0018251A" w:rsidRDefault="00E5417C" w:rsidP="00E5417C">
      <w:pPr>
        <w:spacing w:line="360" w:lineRule="auto"/>
        <w:jc w:val="both"/>
        <w:rPr>
          <w:rFonts w:eastAsia="Aptos"/>
          <w:color w:val="000000" w:themeColor="text1"/>
          <w:sz w:val="24"/>
          <w:szCs w:val="24"/>
        </w:rPr>
      </w:pPr>
    </w:p>
    <w:p w14:paraId="198ABF52" w14:textId="0F6C2132" w:rsidR="006653AA" w:rsidRPr="0018251A" w:rsidRDefault="006653AA" w:rsidP="00E5417C">
      <w:pPr>
        <w:spacing w:line="360" w:lineRule="auto"/>
        <w:jc w:val="both"/>
        <w:rPr>
          <w:rFonts w:eastAsia="Aptos"/>
          <w:color w:val="000000" w:themeColor="text1"/>
          <w:sz w:val="24"/>
          <w:szCs w:val="24"/>
        </w:rPr>
      </w:pPr>
      <w:r w:rsidRPr="0018251A">
        <w:rPr>
          <w:rFonts w:eastAsia="Aptos"/>
          <w:color w:val="000000" w:themeColor="text1"/>
          <w:sz w:val="24"/>
          <w:szCs w:val="24"/>
        </w:rPr>
        <w:t>Pollution Concern: Respondents with moderate concern (OR = 6.487, p = 0.010) and high concern (OR = 13.919, p &lt; 0.001) were 6.5x and 13.9x more likely to pay more, respectively.</w:t>
      </w:r>
    </w:p>
    <w:p w14:paraId="27415BA7" w14:textId="73CD6332" w:rsidR="006653AA" w:rsidRPr="0018251A" w:rsidRDefault="006653AA" w:rsidP="00E5417C">
      <w:pPr>
        <w:spacing w:line="360" w:lineRule="auto"/>
        <w:jc w:val="both"/>
        <w:rPr>
          <w:rFonts w:eastAsia="Aptos"/>
          <w:color w:val="000000" w:themeColor="text1"/>
          <w:sz w:val="24"/>
          <w:szCs w:val="24"/>
        </w:rPr>
      </w:pPr>
      <w:r w:rsidRPr="0018251A">
        <w:rPr>
          <w:rFonts w:eastAsia="Aptos"/>
          <w:color w:val="000000" w:themeColor="text1"/>
          <w:sz w:val="24"/>
          <w:szCs w:val="24"/>
        </w:rPr>
        <w:t>Occupation Level &amp; Gender: No significant effects (p &gt; 0.05).</w:t>
      </w:r>
      <w:r w:rsidR="00E5417C" w:rsidRPr="0018251A">
        <w:rPr>
          <w:rFonts w:eastAsia="Aptos"/>
          <w:color w:val="000000" w:themeColor="text1"/>
          <w:sz w:val="24"/>
          <w:szCs w:val="24"/>
        </w:rPr>
        <w:t xml:space="preserve"> </w:t>
      </w:r>
      <w:r w:rsidRPr="0018251A">
        <w:rPr>
          <w:rFonts w:eastAsia="Aptos"/>
          <w:color w:val="000000" w:themeColor="text1"/>
          <w:sz w:val="24"/>
          <w:szCs w:val="24"/>
        </w:rPr>
        <w:t xml:space="preserve">The Hosmer-Lemeshow test (χ²(5) = 2.071, p = 0.839) indicated </w:t>
      </w:r>
      <w:r w:rsidR="00E5417C" w:rsidRPr="0018251A">
        <w:rPr>
          <w:rFonts w:eastAsia="Aptos"/>
          <w:color w:val="000000" w:themeColor="text1"/>
          <w:sz w:val="24"/>
          <w:szCs w:val="24"/>
        </w:rPr>
        <w:t xml:space="preserve">a </w:t>
      </w:r>
      <w:r w:rsidRPr="0018251A">
        <w:rPr>
          <w:rFonts w:eastAsia="Aptos"/>
          <w:color w:val="000000" w:themeColor="text1"/>
          <w:sz w:val="24"/>
          <w:szCs w:val="24"/>
        </w:rPr>
        <w:t>good model fit. Classification accuracy improved from 73.1% (baseline) to 76.9%, with 97.4% correct predictions for "Yes" responses.</w:t>
      </w:r>
    </w:p>
    <w:p w14:paraId="0E33D88E" w14:textId="77777777" w:rsidR="006653AA" w:rsidRPr="0018251A" w:rsidRDefault="006653AA" w:rsidP="00E5417C">
      <w:pPr>
        <w:spacing w:line="360" w:lineRule="auto"/>
        <w:rPr>
          <w:sz w:val="24"/>
          <w:szCs w:val="24"/>
          <w:lang w:val="en-US" w:bidi="hi-IN"/>
        </w:rPr>
      </w:pPr>
    </w:p>
    <w:p w14:paraId="600549E6" w14:textId="02DF8571" w:rsidR="006653AA" w:rsidRPr="0018251A" w:rsidRDefault="0088278F" w:rsidP="00E5417C">
      <w:pPr>
        <w:pStyle w:val="TabelSubtitle0"/>
        <w:spacing w:line="360" w:lineRule="auto"/>
        <w:rPr>
          <w:sz w:val="24"/>
        </w:rPr>
      </w:pPr>
      <w:r w:rsidRPr="0018251A">
        <w:rPr>
          <w:sz w:val="24"/>
        </w:rPr>
        <w:t xml:space="preserve">Table 5. </w:t>
      </w:r>
      <w:r w:rsidR="006653AA" w:rsidRPr="0018251A">
        <w:rPr>
          <w:sz w:val="24"/>
        </w:rPr>
        <w:t>Binary logistic regression evaluating factors influencing w</w:t>
      </w:r>
      <w:r w:rsidRPr="0018251A">
        <w:rPr>
          <w:sz w:val="24"/>
        </w:rPr>
        <w:t xml:space="preserve">illingness to </w:t>
      </w:r>
      <w:r w:rsidR="006653AA" w:rsidRPr="0018251A">
        <w:rPr>
          <w:sz w:val="24"/>
        </w:rPr>
        <w:t>p</w:t>
      </w:r>
      <w:r w:rsidRPr="0018251A">
        <w:rPr>
          <w:sz w:val="24"/>
        </w:rPr>
        <w:t xml:space="preserve">ay </w:t>
      </w:r>
      <w:r w:rsidR="006653AA" w:rsidRPr="0018251A">
        <w:rPr>
          <w:sz w:val="24"/>
        </w:rPr>
        <w:t>m</w:t>
      </w:r>
      <w:r w:rsidRPr="0018251A">
        <w:rPr>
          <w:sz w:val="24"/>
        </w:rPr>
        <w:t>ore for Eco-</w:t>
      </w:r>
      <w:r w:rsidR="006653AA" w:rsidRPr="0018251A">
        <w:rPr>
          <w:sz w:val="24"/>
        </w:rPr>
        <w:t>f</w:t>
      </w:r>
      <w:r w:rsidRPr="0018251A">
        <w:rPr>
          <w:sz w:val="24"/>
        </w:rPr>
        <w:t xml:space="preserve">riendly </w:t>
      </w:r>
      <w:r w:rsidR="006653AA" w:rsidRPr="0018251A">
        <w:rPr>
          <w:sz w:val="24"/>
        </w:rPr>
        <w:t>c</w:t>
      </w:r>
      <w:r w:rsidRPr="0018251A">
        <w:rPr>
          <w:sz w:val="24"/>
        </w:rPr>
        <w:t>lothing</w:t>
      </w:r>
    </w:p>
    <w:p w14:paraId="5B3CE3C1" w14:textId="77777777" w:rsidR="00BD67A0" w:rsidRPr="0018251A" w:rsidRDefault="00BD67A0" w:rsidP="00BD67A0">
      <w:pPr>
        <w:pStyle w:val="TabelSubtitle0"/>
        <w:rPr>
          <w:sz w:val="24"/>
        </w:rPr>
      </w:pPr>
    </w:p>
    <w:tbl>
      <w:tblPr>
        <w:tblStyle w:val="PlainTable21"/>
        <w:tblW w:w="0" w:type="auto"/>
        <w:jc w:val="center"/>
        <w:tblLook w:val="04A0" w:firstRow="1" w:lastRow="0" w:firstColumn="1" w:lastColumn="0" w:noHBand="0" w:noVBand="1"/>
      </w:tblPr>
      <w:tblGrid>
        <w:gridCol w:w="2796"/>
        <w:gridCol w:w="3541"/>
        <w:gridCol w:w="2571"/>
      </w:tblGrid>
      <w:tr w:rsidR="0088278F" w:rsidRPr="0018251A" w14:paraId="2CFA2E91" w14:textId="77777777" w:rsidTr="008827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8A4209" w14:textId="77777777" w:rsidR="0088278F" w:rsidRPr="0018251A" w:rsidRDefault="0088278F" w:rsidP="0088278F">
            <w:pPr>
              <w:rPr>
                <w:b w:val="0"/>
                <w:bCs w:val="0"/>
                <w:color w:val="000000" w:themeColor="text1"/>
                <w:sz w:val="24"/>
                <w:szCs w:val="24"/>
                <w:lang w:val="en-US" w:bidi="hi-IN"/>
              </w:rPr>
            </w:pPr>
            <w:r w:rsidRPr="0018251A">
              <w:rPr>
                <w:b w:val="0"/>
                <w:bCs w:val="0"/>
                <w:color w:val="000000" w:themeColor="text1"/>
                <w:sz w:val="24"/>
                <w:szCs w:val="24"/>
                <w:lang w:val="en-US" w:bidi="hi-IN"/>
              </w:rPr>
              <w:t>Category</w:t>
            </w:r>
          </w:p>
        </w:tc>
        <w:tc>
          <w:tcPr>
            <w:tcW w:w="0" w:type="auto"/>
            <w:hideMark/>
          </w:tcPr>
          <w:p w14:paraId="66142DA2" w14:textId="77777777" w:rsidR="0088278F" w:rsidRPr="0018251A" w:rsidRDefault="0088278F" w:rsidP="0088278F">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en-US" w:bidi="hi-IN"/>
              </w:rPr>
            </w:pPr>
            <w:r w:rsidRPr="0018251A">
              <w:rPr>
                <w:b w:val="0"/>
                <w:bCs w:val="0"/>
                <w:color w:val="000000" w:themeColor="text1"/>
                <w:sz w:val="24"/>
                <w:szCs w:val="24"/>
                <w:lang w:val="en-US" w:bidi="hi-IN"/>
              </w:rPr>
              <w:t>Measure</w:t>
            </w:r>
          </w:p>
        </w:tc>
        <w:tc>
          <w:tcPr>
            <w:tcW w:w="0" w:type="auto"/>
            <w:hideMark/>
          </w:tcPr>
          <w:p w14:paraId="2F277BF1" w14:textId="77777777" w:rsidR="0088278F" w:rsidRPr="0018251A" w:rsidRDefault="0088278F" w:rsidP="0088278F">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val="en-US" w:bidi="hi-IN"/>
              </w:rPr>
            </w:pPr>
            <w:r w:rsidRPr="0018251A">
              <w:rPr>
                <w:b w:val="0"/>
                <w:bCs w:val="0"/>
                <w:color w:val="000000" w:themeColor="text1"/>
                <w:sz w:val="24"/>
                <w:szCs w:val="24"/>
                <w:lang w:val="en-US" w:bidi="hi-IN"/>
              </w:rPr>
              <w:t>Value</w:t>
            </w:r>
          </w:p>
        </w:tc>
      </w:tr>
      <w:tr w:rsidR="0088278F" w:rsidRPr="0018251A" w14:paraId="64110B9E" w14:textId="77777777" w:rsidTr="008827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94A25" w14:textId="77777777" w:rsidR="0088278F" w:rsidRPr="0018251A" w:rsidRDefault="0088278F" w:rsidP="0088278F">
            <w:pPr>
              <w:rPr>
                <w:b w:val="0"/>
                <w:bCs w:val="0"/>
                <w:color w:val="000000" w:themeColor="text1"/>
                <w:sz w:val="24"/>
                <w:szCs w:val="24"/>
                <w:lang w:val="en-US" w:bidi="hi-IN"/>
              </w:rPr>
            </w:pPr>
            <w:r w:rsidRPr="0018251A">
              <w:rPr>
                <w:b w:val="0"/>
                <w:bCs w:val="0"/>
                <w:color w:val="000000" w:themeColor="text1"/>
                <w:sz w:val="24"/>
                <w:szCs w:val="24"/>
                <w:lang w:val="en-US" w:bidi="hi-IN"/>
              </w:rPr>
              <w:t>Model Fit</w:t>
            </w:r>
          </w:p>
        </w:tc>
        <w:tc>
          <w:tcPr>
            <w:tcW w:w="0" w:type="auto"/>
            <w:hideMark/>
          </w:tcPr>
          <w:p w14:paraId="6EFE1C45"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Cox &amp; Snell R²</w:t>
            </w:r>
          </w:p>
        </w:tc>
        <w:tc>
          <w:tcPr>
            <w:tcW w:w="0" w:type="auto"/>
            <w:hideMark/>
          </w:tcPr>
          <w:p w14:paraId="258F7110"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0.103 (10.3%)</w:t>
            </w:r>
          </w:p>
        </w:tc>
      </w:tr>
      <w:tr w:rsidR="0088278F" w:rsidRPr="0018251A" w14:paraId="27D718C1" w14:textId="77777777" w:rsidTr="008827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F792AC" w14:textId="77777777" w:rsidR="0088278F" w:rsidRPr="0018251A" w:rsidRDefault="0088278F" w:rsidP="0088278F">
            <w:pPr>
              <w:rPr>
                <w:b w:val="0"/>
                <w:bCs w:val="0"/>
                <w:color w:val="000000" w:themeColor="text1"/>
                <w:sz w:val="24"/>
                <w:szCs w:val="24"/>
                <w:lang w:val="en-US" w:bidi="hi-IN"/>
              </w:rPr>
            </w:pPr>
          </w:p>
        </w:tc>
        <w:tc>
          <w:tcPr>
            <w:tcW w:w="0" w:type="auto"/>
            <w:hideMark/>
          </w:tcPr>
          <w:p w14:paraId="40C2CE5D"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Nagelkerke R²</w:t>
            </w:r>
          </w:p>
        </w:tc>
        <w:tc>
          <w:tcPr>
            <w:tcW w:w="0" w:type="auto"/>
            <w:hideMark/>
          </w:tcPr>
          <w:p w14:paraId="0C73A59F"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0.150 (15.0%)</w:t>
            </w:r>
          </w:p>
        </w:tc>
      </w:tr>
      <w:tr w:rsidR="0088278F" w:rsidRPr="0018251A" w14:paraId="760727AC" w14:textId="77777777" w:rsidTr="008827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DD69F3" w14:textId="77777777" w:rsidR="0088278F" w:rsidRPr="0018251A" w:rsidRDefault="0088278F" w:rsidP="0088278F">
            <w:pPr>
              <w:rPr>
                <w:b w:val="0"/>
                <w:bCs w:val="0"/>
                <w:color w:val="000000" w:themeColor="text1"/>
                <w:sz w:val="24"/>
                <w:szCs w:val="24"/>
                <w:lang w:val="en-US" w:bidi="hi-IN"/>
              </w:rPr>
            </w:pPr>
          </w:p>
        </w:tc>
        <w:tc>
          <w:tcPr>
            <w:tcW w:w="0" w:type="auto"/>
            <w:hideMark/>
          </w:tcPr>
          <w:p w14:paraId="26364DD8"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Hosmer-Lemeshow Test (χ², df, p)</w:t>
            </w:r>
          </w:p>
        </w:tc>
        <w:tc>
          <w:tcPr>
            <w:tcW w:w="0" w:type="auto"/>
            <w:hideMark/>
          </w:tcPr>
          <w:p w14:paraId="0C5524A7"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2.071, 5, 0.839</w:t>
            </w:r>
          </w:p>
        </w:tc>
      </w:tr>
      <w:tr w:rsidR="0088278F" w:rsidRPr="0018251A" w14:paraId="022DE14E" w14:textId="77777777" w:rsidTr="008827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89F450" w14:textId="77777777" w:rsidR="0088278F" w:rsidRPr="0018251A" w:rsidRDefault="0088278F" w:rsidP="0088278F">
            <w:pPr>
              <w:rPr>
                <w:b w:val="0"/>
                <w:bCs w:val="0"/>
                <w:color w:val="000000" w:themeColor="text1"/>
                <w:sz w:val="24"/>
                <w:szCs w:val="24"/>
                <w:lang w:val="en-US" w:bidi="hi-IN"/>
              </w:rPr>
            </w:pPr>
            <w:r w:rsidRPr="0018251A">
              <w:rPr>
                <w:b w:val="0"/>
                <w:bCs w:val="0"/>
                <w:color w:val="000000" w:themeColor="text1"/>
                <w:sz w:val="24"/>
                <w:szCs w:val="24"/>
                <w:lang w:val="en-US" w:bidi="hi-IN"/>
              </w:rPr>
              <w:t>Classification Accuracy</w:t>
            </w:r>
          </w:p>
        </w:tc>
        <w:tc>
          <w:tcPr>
            <w:tcW w:w="0" w:type="auto"/>
            <w:hideMark/>
          </w:tcPr>
          <w:p w14:paraId="466E5A15" w14:textId="6EC9966B"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Baseline Accuracy</w:t>
            </w:r>
          </w:p>
        </w:tc>
        <w:tc>
          <w:tcPr>
            <w:tcW w:w="0" w:type="auto"/>
            <w:hideMark/>
          </w:tcPr>
          <w:p w14:paraId="1282BA3D"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73.1%</w:t>
            </w:r>
          </w:p>
        </w:tc>
      </w:tr>
      <w:tr w:rsidR="0088278F" w:rsidRPr="0018251A" w14:paraId="3407C8B0" w14:textId="77777777" w:rsidTr="008827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91AAB" w14:textId="77777777" w:rsidR="0088278F" w:rsidRPr="0018251A" w:rsidRDefault="0088278F" w:rsidP="0088278F">
            <w:pPr>
              <w:rPr>
                <w:b w:val="0"/>
                <w:bCs w:val="0"/>
                <w:color w:val="000000" w:themeColor="text1"/>
                <w:sz w:val="24"/>
                <w:szCs w:val="24"/>
                <w:lang w:val="en-US" w:bidi="hi-IN"/>
              </w:rPr>
            </w:pPr>
          </w:p>
        </w:tc>
        <w:tc>
          <w:tcPr>
            <w:tcW w:w="0" w:type="auto"/>
            <w:hideMark/>
          </w:tcPr>
          <w:p w14:paraId="04F0E7D8" w14:textId="7C7922B2"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 xml:space="preserve">Overall Accuracy </w:t>
            </w:r>
          </w:p>
        </w:tc>
        <w:tc>
          <w:tcPr>
            <w:tcW w:w="0" w:type="auto"/>
            <w:hideMark/>
          </w:tcPr>
          <w:p w14:paraId="28FB0C28"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76.9%</w:t>
            </w:r>
          </w:p>
        </w:tc>
      </w:tr>
      <w:tr w:rsidR="0088278F" w:rsidRPr="0018251A" w14:paraId="6B03BAA5" w14:textId="77777777" w:rsidTr="008827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AAD57D" w14:textId="77777777" w:rsidR="0088278F" w:rsidRPr="0018251A" w:rsidRDefault="0088278F" w:rsidP="0088278F">
            <w:pPr>
              <w:rPr>
                <w:b w:val="0"/>
                <w:bCs w:val="0"/>
                <w:color w:val="000000" w:themeColor="text1"/>
                <w:sz w:val="24"/>
                <w:szCs w:val="24"/>
                <w:lang w:val="en-US" w:bidi="hi-IN"/>
              </w:rPr>
            </w:pPr>
          </w:p>
        </w:tc>
        <w:tc>
          <w:tcPr>
            <w:tcW w:w="0" w:type="auto"/>
            <w:hideMark/>
          </w:tcPr>
          <w:p w14:paraId="19CCF62D" w14:textId="2CC52FB8"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"Yes" Response Accuracy</w:t>
            </w:r>
          </w:p>
        </w:tc>
        <w:tc>
          <w:tcPr>
            <w:tcW w:w="0" w:type="auto"/>
            <w:hideMark/>
          </w:tcPr>
          <w:p w14:paraId="670CE70D"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97.4%</w:t>
            </w:r>
          </w:p>
        </w:tc>
      </w:tr>
      <w:tr w:rsidR="0088278F" w:rsidRPr="0018251A" w14:paraId="6587E472" w14:textId="77777777" w:rsidTr="008827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1C41A8" w14:textId="77777777" w:rsidR="0088278F" w:rsidRPr="0018251A" w:rsidRDefault="0088278F" w:rsidP="0088278F">
            <w:pPr>
              <w:rPr>
                <w:b w:val="0"/>
                <w:bCs w:val="0"/>
                <w:color w:val="000000" w:themeColor="text1"/>
                <w:sz w:val="24"/>
                <w:szCs w:val="24"/>
                <w:lang w:val="en-US" w:bidi="hi-IN"/>
              </w:rPr>
            </w:pPr>
            <w:r w:rsidRPr="0018251A">
              <w:rPr>
                <w:b w:val="0"/>
                <w:bCs w:val="0"/>
                <w:color w:val="000000" w:themeColor="text1"/>
                <w:sz w:val="24"/>
                <w:szCs w:val="24"/>
                <w:lang w:val="en-US" w:bidi="hi-IN"/>
              </w:rPr>
              <w:t>Significant Predictors</w:t>
            </w:r>
          </w:p>
        </w:tc>
        <w:tc>
          <w:tcPr>
            <w:tcW w:w="0" w:type="auto"/>
            <w:hideMark/>
          </w:tcPr>
          <w:p w14:paraId="1C0F8B4C"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Pollution Concern (Moderate)</w:t>
            </w:r>
          </w:p>
        </w:tc>
        <w:tc>
          <w:tcPr>
            <w:tcW w:w="0" w:type="auto"/>
            <w:hideMark/>
          </w:tcPr>
          <w:p w14:paraId="1B5F9E1B"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6.487, p = 0.010</w:t>
            </w:r>
          </w:p>
        </w:tc>
      </w:tr>
      <w:tr w:rsidR="0088278F" w:rsidRPr="0018251A" w14:paraId="08A58DFC" w14:textId="77777777" w:rsidTr="008827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3DFBA" w14:textId="77777777" w:rsidR="0088278F" w:rsidRPr="0018251A" w:rsidRDefault="0088278F" w:rsidP="0088278F">
            <w:pPr>
              <w:rPr>
                <w:b w:val="0"/>
                <w:bCs w:val="0"/>
                <w:color w:val="000000" w:themeColor="text1"/>
                <w:sz w:val="24"/>
                <w:szCs w:val="24"/>
                <w:lang w:val="en-US" w:bidi="hi-IN"/>
              </w:rPr>
            </w:pPr>
          </w:p>
        </w:tc>
        <w:tc>
          <w:tcPr>
            <w:tcW w:w="0" w:type="auto"/>
            <w:hideMark/>
          </w:tcPr>
          <w:p w14:paraId="11BAB525"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Pollution Concern (High)</w:t>
            </w:r>
          </w:p>
        </w:tc>
        <w:tc>
          <w:tcPr>
            <w:tcW w:w="0" w:type="auto"/>
            <w:hideMark/>
          </w:tcPr>
          <w:p w14:paraId="42C4065C"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13.919, p &lt; 0.001</w:t>
            </w:r>
          </w:p>
        </w:tc>
      </w:tr>
      <w:tr w:rsidR="0088278F" w:rsidRPr="0018251A" w14:paraId="26629F71" w14:textId="77777777" w:rsidTr="008827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44C4B4" w14:textId="77777777" w:rsidR="0088278F" w:rsidRPr="0018251A" w:rsidRDefault="0088278F" w:rsidP="0088278F">
            <w:pPr>
              <w:rPr>
                <w:b w:val="0"/>
                <w:bCs w:val="0"/>
                <w:color w:val="000000" w:themeColor="text1"/>
                <w:sz w:val="24"/>
                <w:szCs w:val="24"/>
                <w:lang w:val="en-US" w:bidi="hi-IN"/>
              </w:rPr>
            </w:pPr>
            <w:r w:rsidRPr="0018251A">
              <w:rPr>
                <w:b w:val="0"/>
                <w:bCs w:val="0"/>
                <w:color w:val="000000" w:themeColor="text1"/>
                <w:sz w:val="24"/>
                <w:szCs w:val="24"/>
                <w:lang w:val="en-US" w:bidi="hi-IN"/>
              </w:rPr>
              <w:t>Non-Significant Predictors</w:t>
            </w:r>
          </w:p>
        </w:tc>
        <w:tc>
          <w:tcPr>
            <w:tcW w:w="0" w:type="auto"/>
            <w:hideMark/>
          </w:tcPr>
          <w:p w14:paraId="333B0429"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Occupation Level</w:t>
            </w:r>
          </w:p>
        </w:tc>
        <w:tc>
          <w:tcPr>
            <w:tcW w:w="0" w:type="auto"/>
            <w:hideMark/>
          </w:tcPr>
          <w:p w14:paraId="7A1B5968" w14:textId="77777777" w:rsidR="0088278F" w:rsidRPr="0018251A" w:rsidRDefault="0088278F" w:rsidP="0088278F">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p &gt; 0.05 (All categories)</w:t>
            </w:r>
          </w:p>
        </w:tc>
      </w:tr>
      <w:tr w:rsidR="0088278F" w:rsidRPr="0018251A" w14:paraId="35E64AD2" w14:textId="77777777" w:rsidTr="0088278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8B74BD" w14:textId="77777777" w:rsidR="0088278F" w:rsidRPr="0018251A" w:rsidRDefault="0088278F" w:rsidP="0088278F">
            <w:pPr>
              <w:rPr>
                <w:b w:val="0"/>
                <w:bCs w:val="0"/>
                <w:color w:val="000000" w:themeColor="text1"/>
                <w:sz w:val="24"/>
                <w:szCs w:val="24"/>
                <w:lang w:val="en-US" w:bidi="hi-IN"/>
              </w:rPr>
            </w:pPr>
          </w:p>
        </w:tc>
        <w:tc>
          <w:tcPr>
            <w:tcW w:w="0" w:type="auto"/>
            <w:hideMark/>
          </w:tcPr>
          <w:p w14:paraId="710A4376"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Gender</w:t>
            </w:r>
          </w:p>
        </w:tc>
        <w:tc>
          <w:tcPr>
            <w:tcW w:w="0" w:type="auto"/>
            <w:hideMark/>
          </w:tcPr>
          <w:p w14:paraId="31CAE6AD" w14:textId="77777777" w:rsidR="0088278F" w:rsidRPr="0018251A" w:rsidRDefault="0088278F" w:rsidP="0088278F">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p = 0.393</w:t>
            </w:r>
          </w:p>
        </w:tc>
      </w:tr>
    </w:tbl>
    <w:p w14:paraId="15824555" w14:textId="77777777" w:rsidR="0088278F" w:rsidRPr="0018251A" w:rsidRDefault="0088278F" w:rsidP="00CA2D90">
      <w:pPr>
        <w:rPr>
          <w:sz w:val="24"/>
          <w:szCs w:val="24"/>
          <w:lang w:val="en-US" w:bidi="hi-IN"/>
        </w:rPr>
      </w:pPr>
    </w:p>
    <w:p w14:paraId="14BD9445" w14:textId="7114FA52" w:rsidR="00BD67A0" w:rsidRPr="0018251A" w:rsidRDefault="00BD67A0" w:rsidP="008E7F5D">
      <w:pPr>
        <w:spacing w:line="360" w:lineRule="auto"/>
        <w:jc w:val="both"/>
        <w:rPr>
          <w:rFonts w:eastAsia="Aptos"/>
          <w:color w:val="000000" w:themeColor="text1"/>
          <w:sz w:val="24"/>
          <w:szCs w:val="24"/>
        </w:rPr>
      </w:pPr>
      <w:r w:rsidRPr="0018251A">
        <w:rPr>
          <w:rFonts w:eastAsia="Aptos"/>
          <w:color w:val="000000" w:themeColor="text1"/>
          <w:sz w:val="24"/>
          <w:szCs w:val="24"/>
        </w:rPr>
        <w:t>Table.6 shows the analysis of identified predictors of support for holding the textile industry accountable. The model explained 27.2% (Cox &amp; Snell R²) to 41.2% (Nagelkerke R²) of the variance, with 80.3% classification accuracy. Respondents aware of ZLD had 11.871x higher odds of supporting accountability (OR = 11.871, p &lt; 0.001).</w:t>
      </w:r>
      <w:r w:rsidR="008E7F5D" w:rsidRPr="0018251A">
        <w:rPr>
          <w:rFonts w:eastAsia="Aptos"/>
          <w:color w:val="000000" w:themeColor="text1"/>
          <w:sz w:val="24"/>
          <w:szCs w:val="24"/>
        </w:rPr>
        <w:t xml:space="preserve"> </w:t>
      </w:r>
      <w:r w:rsidRPr="0018251A">
        <w:rPr>
          <w:rFonts w:eastAsia="Aptos"/>
          <w:color w:val="000000" w:themeColor="text1"/>
          <w:sz w:val="24"/>
          <w:szCs w:val="24"/>
        </w:rPr>
        <w:t>Lower support compared to others (OR = 0.037, p &lt; 0.001).</w:t>
      </w:r>
      <w:r w:rsidR="008E7F5D" w:rsidRPr="0018251A">
        <w:rPr>
          <w:rFonts w:eastAsia="Aptos"/>
          <w:color w:val="000000" w:themeColor="text1"/>
          <w:sz w:val="24"/>
          <w:szCs w:val="24"/>
        </w:rPr>
        <w:t xml:space="preserve"> </w:t>
      </w:r>
      <w:r w:rsidRPr="0018251A">
        <w:rPr>
          <w:rFonts w:eastAsia="Aptos"/>
          <w:color w:val="000000" w:themeColor="text1"/>
          <w:sz w:val="24"/>
          <w:szCs w:val="24"/>
        </w:rPr>
        <w:t>The Hosmer-Lemeshow test (χ²(3) = 8.125, p = 0.043) suggested moderate fit issues. The model improved baseline accuracy (76.9%) to 80.3%, correctly classifying 96.9% of "Yes" responses.</w:t>
      </w:r>
    </w:p>
    <w:p w14:paraId="2B3DC3CD" w14:textId="77777777" w:rsidR="00BD67A0" w:rsidRPr="0018251A" w:rsidRDefault="00BD67A0" w:rsidP="00BD67A0">
      <w:pPr>
        <w:jc w:val="both"/>
        <w:rPr>
          <w:rFonts w:eastAsia="Aptos"/>
          <w:color w:val="000000" w:themeColor="text1"/>
          <w:sz w:val="24"/>
          <w:szCs w:val="24"/>
        </w:rPr>
      </w:pPr>
    </w:p>
    <w:p w14:paraId="17C5306D" w14:textId="49FA396E" w:rsidR="00BD67A0" w:rsidRPr="0018251A" w:rsidRDefault="00BD67A0" w:rsidP="00BD67A0">
      <w:pPr>
        <w:pStyle w:val="TabelSubtitle0"/>
        <w:rPr>
          <w:bCs/>
          <w:sz w:val="24"/>
        </w:rPr>
      </w:pPr>
      <w:r w:rsidRPr="0018251A">
        <w:rPr>
          <w:bCs/>
          <w:sz w:val="24"/>
        </w:rPr>
        <w:lastRenderedPageBreak/>
        <w:t>Table 6. Binary logistic regression evaluating factors influencing accountability support for pollution regulation</w:t>
      </w:r>
    </w:p>
    <w:p w14:paraId="296D1B98" w14:textId="77777777" w:rsidR="00BD67A0" w:rsidRPr="0018251A" w:rsidRDefault="00BD67A0" w:rsidP="00BD67A0">
      <w:pPr>
        <w:pStyle w:val="TabelSubtitle0"/>
        <w:rPr>
          <w:bCs/>
          <w:sz w:val="24"/>
        </w:rPr>
      </w:pPr>
    </w:p>
    <w:tbl>
      <w:tblPr>
        <w:tblStyle w:val="PlainTable21"/>
        <w:tblW w:w="0" w:type="auto"/>
        <w:jc w:val="center"/>
        <w:tblLook w:val="04A0" w:firstRow="1" w:lastRow="0" w:firstColumn="1" w:lastColumn="0" w:noHBand="0" w:noVBand="1"/>
      </w:tblPr>
      <w:tblGrid>
        <w:gridCol w:w="2516"/>
        <w:gridCol w:w="3541"/>
        <w:gridCol w:w="2501"/>
      </w:tblGrid>
      <w:tr w:rsidR="00BD67A0" w:rsidRPr="0018251A" w14:paraId="1C391D20" w14:textId="77777777" w:rsidTr="00BD67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BEE67C" w14:textId="77777777" w:rsidR="00BD67A0" w:rsidRPr="0018251A" w:rsidRDefault="00BD67A0" w:rsidP="008E7F5D">
            <w:pPr>
              <w:jc w:val="center"/>
              <w:rPr>
                <w:b w:val="0"/>
                <w:color w:val="000000" w:themeColor="text1"/>
                <w:sz w:val="24"/>
                <w:szCs w:val="24"/>
                <w:lang w:val="en-US" w:bidi="hi-IN"/>
              </w:rPr>
            </w:pPr>
            <w:r w:rsidRPr="0018251A">
              <w:rPr>
                <w:b w:val="0"/>
                <w:color w:val="000000" w:themeColor="text1"/>
                <w:sz w:val="24"/>
                <w:szCs w:val="24"/>
                <w:lang w:val="en-US" w:bidi="hi-IN"/>
              </w:rPr>
              <w:t>Category</w:t>
            </w:r>
          </w:p>
        </w:tc>
        <w:tc>
          <w:tcPr>
            <w:tcW w:w="0" w:type="auto"/>
            <w:hideMark/>
          </w:tcPr>
          <w:p w14:paraId="339CF46C" w14:textId="77777777" w:rsidR="00BD67A0" w:rsidRPr="0018251A" w:rsidRDefault="00BD67A0" w:rsidP="008E7F5D">
            <w:pPr>
              <w:jc w:val="cente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lang w:val="en-US" w:bidi="hi-IN"/>
              </w:rPr>
            </w:pPr>
            <w:r w:rsidRPr="0018251A">
              <w:rPr>
                <w:b w:val="0"/>
                <w:color w:val="000000" w:themeColor="text1"/>
                <w:sz w:val="24"/>
                <w:szCs w:val="24"/>
                <w:lang w:val="en-US" w:bidi="hi-IN"/>
              </w:rPr>
              <w:t>Measure</w:t>
            </w:r>
          </w:p>
        </w:tc>
        <w:tc>
          <w:tcPr>
            <w:tcW w:w="0" w:type="auto"/>
            <w:hideMark/>
          </w:tcPr>
          <w:p w14:paraId="275990C1" w14:textId="77777777" w:rsidR="00BD67A0" w:rsidRPr="0018251A" w:rsidRDefault="00BD67A0" w:rsidP="008E7F5D">
            <w:pPr>
              <w:jc w:val="cente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lang w:val="en-US" w:bidi="hi-IN"/>
              </w:rPr>
            </w:pPr>
            <w:r w:rsidRPr="0018251A">
              <w:rPr>
                <w:b w:val="0"/>
                <w:color w:val="000000" w:themeColor="text1"/>
                <w:sz w:val="24"/>
                <w:szCs w:val="24"/>
                <w:lang w:val="en-US" w:bidi="hi-IN"/>
              </w:rPr>
              <w:t>Value</w:t>
            </w:r>
          </w:p>
        </w:tc>
      </w:tr>
      <w:tr w:rsidR="00BD67A0" w:rsidRPr="0018251A" w14:paraId="000EE809" w14:textId="77777777" w:rsidTr="00BD6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F0853" w14:textId="77777777" w:rsidR="00BD67A0" w:rsidRPr="0018251A" w:rsidRDefault="00BD67A0" w:rsidP="008E7F5D">
            <w:pPr>
              <w:jc w:val="center"/>
              <w:rPr>
                <w:b w:val="0"/>
                <w:bCs w:val="0"/>
                <w:color w:val="000000" w:themeColor="text1"/>
                <w:sz w:val="24"/>
                <w:szCs w:val="24"/>
                <w:lang w:val="en-US" w:bidi="hi-IN"/>
              </w:rPr>
            </w:pPr>
            <w:r w:rsidRPr="0018251A">
              <w:rPr>
                <w:b w:val="0"/>
                <w:bCs w:val="0"/>
                <w:color w:val="000000" w:themeColor="text1"/>
                <w:sz w:val="24"/>
                <w:szCs w:val="24"/>
                <w:lang w:val="en-US" w:bidi="hi-IN"/>
              </w:rPr>
              <w:t>Model Fit</w:t>
            </w:r>
          </w:p>
        </w:tc>
        <w:tc>
          <w:tcPr>
            <w:tcW w:w="0" w:type="auto"/>
            <w:hideMark/>
          </w:tcPr>
          <w:p w14:paraId="7F8F3EBA" w14:textId="77777777"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Cox &amp; Snell R²</w:t>
            </w:r>
          </w:p>
        </w:tc>
        <w:tc>
          <w:tcPr>
            <w:tcW w:w="0" w:type="auto"/>
            <w:hideMark/>
          </w:tcPr>
          <w:p w14:paraId="356658F6" w14:textId="77777777"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0.272 (27.2%)</w:t>
            </w:r>
          </w:p>
        </w:tc>
      </w:tr>
      <w:tr w:rsidR="00BD67A0" w:rsidRPr="0018251A" w14:paraId="305566E6" w14:textId="77777777" w:rsidTr="00BD67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855CB" w14:textId="77777777" w:rsidR="00BD67A0" w:rsidRPr="0018251A" w:rsidRDefault="00BD67A0" w:rsidP="008E7F5D">
            <w:pPr>
              <w:jc w:val="center"/>
              <w:rPr>
                <w:b w:val="0"/>
                <w:bCs w:val="0"/>
                <w:color w:val="000000" w:themeColor="text1"/>
                <w:sz w:val="24"/>
                <w:szCs w:val="24"/>
                <w:lang w:val="en-US" w:bidi="hi-IN"/>
              </w:rPr>
            </w:pPr>
          </w:p>
        </w:tc>
        <w:tc>
          <w:tcPr>
            <w:tcW w:w="0" w:type="auto"/>
            <w:hideMark/>
          </w:tcPr>
          <w:p w14:paraId="2A303340" w14:textId="77777777"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Nagelkerke R²</w:t>
            </w:r>
          </w:p>
        </w:tc>
        <w:tc>
          <w:tcPr>
            <w:tcW w:w="0" w:type="auto"/>
            <w:hideMark/>
          </w:tcPr>
          <w:p w14:paraId="162AF1F3" w14:textId="77777777"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0.412 (41.2%)</w:t>
            </w:r>
          </w:p>
        </w:tc>
      </w:tr>
      <w:tr w:rsidR="00BD67A0" w:rsidRPr="0018251A" w14:paraId="1D803C9A" w14:textId="77777777" w:rsidTr="00BD6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595B6C" w14:textId="77777777" w:rsidR="00BD67A0" w:rsidRPr="0018251A" w:rsidRDefault="00BD67A0" w:rsidP="008E7F5D">
            <w:pPr>
              <w:jc w:val="center"/>
              <w:rPr>
                <w:b w:val="0"/>
                <w:bCs w:val="0"/>
                <w:color w:val="000000" w:themeColor="text1"/>
                <w:sz w:val="24"/>
                <w:szCs w:val="24"/>
                <w:lang w:val="en-US" w:bidi="hi-IN"/>
              </w:rPr>
            </w:pPr>
          </w:p>
        </w:tc>
        <w:tc>
          <w:tcPr>
            <w:tcW w:w="0" w:type="auto"/>
            <w:hideMark/>
          </w:tcPr>
          <w:p w14:paraId="1A151E38" w14:textId="77777777"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Hosmer-Lemeshow Test (χ², df, p)</w:t>
            </w:r>
          </w:p>
        </w:tc>
        <w:tc>
          <w:tcPr>
            <w:tcW w:w="0" w:type="auto"/>
            <w:hideMark/>
          </w:tcPr>
          <w:p w14:paraId="373517F8" w14:textId="77777777"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8.125, 3, 0.043</w:t>
            </w:r>
          </w:p>
        </w:tc>
      </w:tr>
      <w:tr w:rsidR="00BD67A0" w:rsidRPr="0018251A" w14:paraId="1AFB8BCC" w14:textId="77777777" w:rsidTr="00BD67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A19777" w14:textId="77777777" w:rsidR="00BD67A0" w:rsidRPr="0018251A" w:rsidRDefault="00BD67A0" w:rsidP="008E7F5D">
            <w:pPr>
              <w:jc w:val="center"/>
              <w:rPr>
                <w:b w:val="0"/>
                <w:bCs w:val="0"/>
                <w:color w:val="000000" w:themeColor="text1"/>
                <w:sz w:val="24"/>
                <w:szCs w:val="24"/>
                <w:lang w:val="en-US" w:bidi="hi-IN"/>
              </w:rPr>
            </w:pPr>
            <w:r w:rsidRPr="0018251A">
              <w:rPr>
                <w:b w:val="0"/>
                <w:bCs w:val="0"/>
                <w:color w:val="000000" w:themeColor="text1"/>
                <w:sz w:val="24"/>
                <w:szCs w:val="24"/>
                <w:lang w:val="en-US" w:bidi="hi-IN"/>
              </w:rPr>
              <w:t>Classification Accuracy</w:t>
            </w:r>
          </w:p>
        </w:tc>
        <w:tc>
          <w:tcPr>
            <w:tcW w:w="0" w:type="auto"/>
            <w:hideMark/>
          </w:tcPr>
          <w:p w14:paraId="613CA0EC" w14:textId="4DBD601B"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Baseline Accuracy</w:t>
            </w:r>
          </w:p>
        </w:tc>
        <w:tc>
          <w:tcPr>
            <w:tcW w:w="0" w:type="auto"/>
            <w:hideMark/>
          </w:tcPr>
          <w:p w14:paraId="6DF65EC4" w14:textId="77777777"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76.9%</w:t>
            </w:r>
          </w:p>
        </w:tc>
      </w:tr>
      <w:tr w:rsidR="00BD67A0" w:rsidRPr="0018251A" w14:paraId="5E8C9215" w14:textId="77777777" w:rsidTr="00BD6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2EDCF0" w14:textId="77777777" w:rsidR="00BD67A0" w:rsidRPr="0018251A" w:rsidRDefault="00BD67A0" w:rsidP="008E7F5D">
            <w:pPr>
              <w:jc w:val="center"/>
              <w:rPr>
                <w:b w:val="0"/>
                <w:bCs w:val="0"/>
                <w:color w:val="000000" w:themeColor="text1"/>
                <w:sz w:val="24"/>
                <w:szCs w:val="24"/>
                <w:lang w:val="en-US" w:bidi="hi-IN"/>
              </w:rPr>
            </w:pPr>
          </w:p>
        </w:tc>
        <w:tc>
          <w:tcPr>
            <w:tcW w:w="0" w:type="auto"/>
            <w:hideMark/>
          </w:tcPr>
          <w:p w14:paraId="03DEB623" w14:textId="68A45EB5"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Overall Accuracy</w:t>
            </w:r>
          </w:p>
        </w:tc>
        <w:tc>
          <w:tcPr>
            <w:tcW w:w="0" w:type="auto"/>
            <w:hideMark/>
          </w:tcPr>
          <w:p w14:paraId="11FE131E" w14:textId="77777777"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80.3%</w:t>
            </w:r>
          </w:p>
        </w:tc>
      </w:tr>
      <w:tr w:rsidR="00BD67A0" w:rsidRPr="0018251A" w14:paraId="1BA9F86E" w14:textId="77777777" w:rsidTr="00BD67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CD0C77" w14:textId="77777777" w:rsidR="00BD67A0" w:rsidRPr="0018251A" w:rsidRDefault="00BD67A0" w:rsidP="008E7F5D">
            <w:pPr>
              <w:jc w:val="center"/>
              <w:rPr>
                <w:b w:val="0"/>
                <w:bCs w:val="0"/>
                <w:color w:val="000000" w:themeColor="text1"/>
                <w:sz w:val="24"/>
                <w:szCs w:val="24"/>
                <w:lang w:val="en-US" w:bidi="hi-IN"/>
              </w:rPr>
            </w:pPr>
          </w:p>
        </w:tc>
        <w:tc>
          <w:tcPr>
            <w:tcW w:w="0" w:type="auto"/>
            <w:hideMark/>
          </w:tcPr>
          <w:p w14:paraId="42640D18" w14:textId="39DEF611"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"Yes" Response Accuracy</w:t>
            </w:r>
          </w:p>
        </w:tc>
        <w:tc>
          <w:tcPr>
            <w:tcW w:w="0" w:type="auto"/>
            <w:hideMark/>
          </w:tcPr>
          <w:p w14:paraId="13571FB9" w14:textId="77777777"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96.9%</w:t>
            </w:r>
          </w:p>
        </w:tc>
      </w:tr>
      <w:tr w:rsidR="00BD67A0" w:rsidRPr="0018251A" w14:paraId="078DE716" w14:textId="77777777" w:rsidTr="00BD67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FEFD4E" w14:textId="77777777" w:rsidR="00BD67A0" w:rsidRPr="0018251A" w:rsidRDefault="00BD67A0" w:rsidP="008E7F5D">
            <w:pPr>
              <w:jc w:val="center"/>
              <w:rPr>
                <w:b w:val="0"/>
                <w:bCs w:val="0"/>
                <w:color w:val="000000" w:themeColor="text1"/>
                <w:sz w:val="24"/>
                <w:szCs w:val="24"/>
                <w:lang w:val="en-US" w:bidi="hi-IN"/>
              </w:rPr>
            </w:pPr>
            <w:r w:rsidRPr="0018251A">
              <w:rPr>
                <w:b w:val="0"/>
                <w:bCs w:val="0"/>
                <w:color w:val="000000" w:themeColor="text1"/>
                <w:sz w:val="24"/>
                <w:szCs w:val="24"/>
                <w:lang w:val="en-US" w:bidi="hi-IN"/>
              </w:rPr>
              <w:t>Significant Predictors</w:t>
            </w:r>
          </w:p>
        </w:tc>
        <w:tc>
          <w:tcPr>
            <w:tcW w:w="0" w:type="auto"/>
            <w:hideMark/>
          </w:tcPr>
          <w:p w14:paraId="214859E4" w14:textId="77777777"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ZLD Familiarity (Yes)</w:t>
            </w:r>
          </w:p>
        </w:tc>
        <w:tc>
          <w:tcPr>
            <w:tcW w:w="0" w:type="auto"/>
            <w:hideMark/>
          </w:tcPr>
          <w:p w14:paraId="6FAD32AA" w14:textId="77777777" w:rsidR="00BD67A0" w:rsidRPr="0018251A" w:rsidRDefault="00BD67A0" w:rsidP="008E7F5D">
            <w:pPr>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11.871, p &lt; 0.001</w:t>
            </w:r>
          </w:p>
        </w:tc>
      </w:tr>
      <w:tr w:rsidR="00BD67A0" w:rsidRPr="0018251A" w14:paraId="0128587D" w14:textId="77777777" w:rsidTr="00BD67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E6F255" w14:textId="77777777" w:rsidR="00BD67A0" w:rsidRPr="0018251A" w:rsidRDefault="00BD67A0" w:rsidP="008E7F5D">
            <w:pPr>
              <w:jc w:val="center"/>
              <w:rPr>
                <w:b w:val="0"/>
                <w:bCs w:val="0"/>
                <w:color w:val="000000" w:themeColor="text1"/>
                <w:sz w:val="24"/>
                <w:szCs w:val="24"/>
                <w:lang w:val="en-US" w:bidi="hi-IN"/>
              </w:rPr>
            </w:pPr>
          </w:p>
        </w:tc>
        <w:tc>
          <w:tcPr>
            <w:tcW w:w="0" w:type="auto"/>
            <w:hideMark/>
          </w:tcPr>
          <w:p w14:paraId="5BEBA1AF" w14:textId="77777777"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Industrialists (vs. Others)</w:t>
            </w:r>
          </w:p>
        </w:tc>
        <w:tc>
          <w:tcPr>
            <w:tcW w:w="0" w:type="auto"/>
            <w:hideMark/>
          </w:tcPr>
          <w:p w14:paraId="79A6AB9C" w14:textId="77777777" w:rsidR="00BD67A0" w:rsidRPr="0018251A" w:rsidRDefault="00BD67A0" w:rsidP="008E7F5D">
            <w:pPr>
              <w:jc w:val="cente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0.037, p &lt; 0.001</w:t>
            </w:r>
          </w:p>
        </w:tc>
      </w:tr>
    </w:tbl>
    <w:p w14:paraId="22D8E4E5" w14:textId="77777777" w:rsidR="00BD67A0" w:rsidRPr="0018251A" w:rsidRDefault="00BD67A0" w:rsidP="00CA2D90">
      <w:pPr>
        <w:rPr>
          <w:sz w:val="24"/>
          <w:szCs w:val="24"/>
          <w:lang w:val="en-US" w:bidi="hi-IN"/>
        </w:rPr>
      </w:pPr>
    </w:p>
    <w:p w14:paraId="558F848A" w14:textId="19BA5E5C" w:rsidR="009E1BD4" w:rsidRPr="0018251A" w:rsidRDefault="009E1BD4" w:rsidP="008E7F5D">
      <w:pPr>
        <w:spacing w:line="360" w:lineRule="auto"/>
        <w:jc w:val="both"/>
        <w:rPr>
          <w:rFonts w:eastAsia="Aptos"/>
          <w:color w:val="000000" w:themeColor="text1"/>
          <w:sz w:val="24"/>
          <w:szCs w:val="24"/>
        </w:rPr>
      </w:pPr>
      <w:r w:rsidRPr="0018251A">
        <w:rPr>
          <w:rFonts w:eastAsia="Aptos"/>
          <w:color w:val="000000" w:themeColor="text1"/>
          <w:sz w:val="24"/>
          <w:szCs w:val="24"/>
        </w:rPr>
        <w:t>The binary regression model in table 7, evaluating the factors influencing awareness of textile industry water pollution explained 31.4% (Cox &amp; Snell R²) to 45.6% (Nagelkerke R²) of variance, achieving 83.7% accuracy. Key predictors include:</w:t>
      </w:r>
      <w:r w:rsidR="008E7F5D" w:rsidRPr="0018251A">
        <w:rPr>
          <w:rFonts w:eastAsia="Aptos"/>
          <w:color w:val="000000" w:themeColor="text1"/>
          <w:sz w:val="24"/>
          <w:szCs w:val="24"/>
        </w:rPr>
        <w:t xml:space="preserve"> </w:t>
      </w:r>
      <w:r w:rsidRPr="0018251A">
        <w:rPr>
          <w:rFonts w:eastAsia="Aptos"/>
          <w:color w:val="000000" w:themeColor="text1"/>
          <w:sz w:val="24"/>
          <w:szCs w:val="24"/>
        </w:rPr>
        <w:t>Far less aware (OR = 0.027–0.056, p ≤ 0.001).</w:t>
      </w:r>
      <w:r w:rsidR="008E7F5D" w:rsidRPr="0018251A">
        <w:rPr>
          <w:rFonts w:eastAsia="Aptos"/>
          <w:color w:val="000000" w:themeColor="text1"/>
          <w:sz w:val="24"/>
          <w:szCs w:val="24"/>
        </w:rPr>
        <w:t xml:space="preserve"> </w:t>
      </w:r>
      <w:r w:rsidRPr="0018251A">
        <w:rPr>
          <w:rFonts w:eastAsia="Aptos"/>
          <w:color w:val="000000" w:themeColor="text1"/>
          <w:sz w:val="24"/>
          <w:szCs w:val="24"/>
        </w:rPr>
        <w:t>Older respondents had 14.6x–71.7x higher awareness (OR, p &lt; 0.001).</w:t>
      </w:r>
      <w:r w:rsidR="008E7F5D" w:rsidRPr="0018251A">
        <w:rPr>
          <w:rFonts w:eastAsia="Aptos"/>
          <w:color w:val="000000" w:themeColor="text1"/>
          <w:sz w:val="24"/>
          <w:szCs w:val="24"/>
        </w:rPr>
        <w:t xml:space="preserve"> </w:t>
      </w:r>
      <w:r w:rsidRPr="0018251A">
        <w:rPr>
          <w:rFonts w:eastAsia="Aptos"/>
          <w:color w:val="000000" w:themeColor="text1"/>
          <w:sz w:val="24"/>
          <w:szCs w:val="24"/>
        </w:rPr>
        <w:t>The Hosmer-Lemeshow test (χ²(4) = 8.933, p = 0.063) showed adequate fit. Classification improved from 73.1% to 83.7%, with 90.8% correct "Yes" predictions</w:t>
      </w:r>
      <w:r w:rsidR="001C0AEE" w:rsidRPr="0018251A">
        <w:rPr>
          <w:rFonts w:eastAsia="Aptos"/>
          <w:color w:val="000000" w:themeColor="text1"/>
          <w:sz w:val="24"/>
          <w:szCs w:val="24"/>
        </w:rPr>
        <w:t>.</w:t>
      </w:r>
    </w:p>
    <w:p w14:paraId="42E25EE6" w14:textId="77777777" w:rsidR="001C0AEE" w:rsidRPr="0018251A" w:rsidRDefault="001C0AEE" w:rsidP="009E1BD4">
      <w:pPr>
        <w:jc w:val="both"/>
        <w:rPr>
          <w:rFonts w:eastAsia="Aptos"/>
          <w:color w:val="000000" w:themeColor="text1"/>
          <w:sz w:val="24"/>
          <w:szCs w:val="24"/>
        </w:rPr>
      </w:pPr>
    </w:p>
    <w:p w14:paraId="668BA7BF" w14:textId="5D7704E8" w:rsidR="001C0AEE" w:rsidRPr="0018251A" w:rsidRDefault="001C0AEE" w:rsidP="001C0AEE">
      <w:pPr>
        <w:pStyle w:val="TabelSubtitle0"/>
        <w:rPr>
          <w:bCs/>
          <w:sz w:val="24"/>
        </w:rPr>
      </w:pPr>
      <w:r w:rsidRPr="0018251A">
        <w:rPr>
          <w:bCs/>
          <w:sz w:val="24"/>
        </w:rPr>
        <w:t xml:space="preserve">Table 7. Binary logistic regression evaluating factors influencing </w:t>
      </w:r>
      <w:r w:rsidRPr="0018251A">
        <w:rPr>
          <w:rFonts w:eastAsia="Aptos"/>
          <w:bCs/>
          <w:color w:val="000000" w:themeColor="text1"/>
          <w:sz w:val="24"/>
        </w:rPr>
        <w:t>awareness of textile industry water pollution</w:t>
      </w:r>
    </w:p>
    <w:tbl>
      <w:tblPr>
        <w:tblStyle w:val="PlainTable21"/>
        <w:tblW w:w="0" w:type="auto"/>
        <w:jc w:val="center"/>
        <w:tblLook w:val="04A0" w:firstRow="1" w:lastRow="0" w:firstColumn="1" w:lastColumn="0" w:noHBand="0" w:noVBand="1"/>
      </w:tblPr>
      <w:tblGrid>
        <w:gridCol w:w="2796"/>
        <w:gridCol w:w="3541"/>
        <w:gridCol w:w="2801"/>
      </w:tblGrid>
      <w:tr w:rsidR="009E1BD4" w:rsidRPr="0018251A" w14:paraId="30953428" w14:textId="77777777" w:rsidTr="009E1B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65F3B7" w14:textId="77777777" w:rsidR="009E1BD4" w:rsidRPr="0018251A" w:rsidRDefault="009E1BD4" w:rsidP="009E1BD4">
            <w:pPr>
              <w:rPr>
                <w:b w:val="0"/>
                <w:color w:val="000000" w:themeColor="text1"/>
                <w:sz w:val="24"/>
                <w:szCs w:val="24"/>
                <w:lang w:val="en-US" w:bidi="hi-IN"/>
              </w:rPr>
            </w:pPr>
            <w:r w:rsidRPr="0018251A">
              <w:rPr>
                <w:b w:val="0"/>
                <w:color w:val="000000" w:themeColor="text1"/>
                <w:sz w:val="24"/>
                <w:szCs w:val="24"/>
                <w:lang w:val="en-US" w:bidi="hi-IN"/>
              </w:rPr>
              <w:t>Category</w:t>
            </w:r>
          </w:p>
        </w:tc>
        <w:tc>
          <w:tcPr>
            <w:tcW w:w="0" w:type="auto"/>
            <w:hideMark/>
          </w:tcPr>
          <w:p w14:paraId="19436622" w14:textId="77777777" w:rsidR="009E1BD4" w:rsidRPr="0018251A" w:rsidRDefault="009E1BD4" w:rsidP="009E1BD4">
            <w:pP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lang w:val="en-US" w:bidi="hi-IN"/>
              </w:rPr>
            </w:pPr>
            <w:r w:rsidRPr="0018251A">
              <w:rPr>
                <w:b w:val="0"/>
                <w:color w:val="000000" w:themeColor="text1"/>
                <w:sz w:val="24"/>
                <w:szCs w:val="24"/>
                <w:lang w:val="en-US" w:bidi="hi-IN"/>
              </w:rPr>
              <w:t>Measure</w:t>
            </w:r>
          </w:p>
        </w:tc>
        <w:tc>
          <w:tcPr>
            <w:tcW w:w="0" w:type="auto"/>
            <w:hideMark/>
          </w:tcPr>
          <w:p w14:paraId="49B1F819" w14:textId="77777777" w:rsidR="009E1BD4" w:rsidRPr="0018251A" w:rsidRDefault="009E1BD4" w:rsidP="009E1BD4">
            <w:pPr>
              <w:cnfStyle w:val="100000000000" w:firstRow="1" w:lastRow="0" w:firstColumn="0" w:lastColumn="0" w:oddVBand="0" w:evenVBand="0" w:oddHBand="0" w:evenHBand="0" w:firstRowFirstColumn="0" w:firstRowLastColumn="0" w:lastRowFirstColumn="0" w:lastRowLastColumn="0"/>
              <w:rPr>
                <w:b w:val="0"/>
                <w:color w:val="000000" w:themeColor="text1"/>
                <w:sz w:val="24"/>
                <w:szCs w:val="24"/>
                <w:lang w:val="en-US" w:bidi="hi-IN"/>
              </w:rPr>
            </w:pPr>
            <w:r w:rsidRPr="0018251A">
              <w:rPr>
                <w:b w:val="0"/>
                <w:color w:val="000000" w:themeColor="text1"/>
                <w:sz w:val="24"/>
                <w:szCs w:val="24"/>
                <w:lang w:val="en-US" w:bidi="hi-IN"/>
              </w:rPr>
              <w:t>Value</w:t>
            </w:r>
          </w:p>
        </w:tc>
      </w:tr>
      <w:tr w:rsidR="009E1BD4" w:rsidRPr="0018251A" w14:paraId="1A7C5CBC" w14:textId="77777777" w:rsidTr="009E1B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FEAEA8" w14:textId="77777777" w:rsidR="009E1BD4" w:rsidRPr="0018251A" w:rsidRDefault="009E1BD4" w:rsidP="009E1BD4">
            <w:pPr>
              <w:rPr>
                <w:b w:val="0"/>
                <w:bCs w:val="0"/>
                <w:color w:val="000000" w:themeColor="text1"/>
                <w:sz w:val="24"/>
                <w:szCs w:val="24"/>
                <w:lang w:val="en-US" w:bidi="hi-IN"/>
              </w:rPr>
            </w:pPr>
            <w:r w:rsidRPr="0018251A">
              <w:rPr>
                <w:b w:val="0"/>
                <w:bCs w:val="0"/>
                <w:color w:val="000000" w:themeColor="text1"/>
                <w:sz w:val="24"/>
                <w:szCs w:val="24"/>
                <w:lang w:val="en-US" w:bidi="hi-IN"/>
              </w:rPr>
              <w:t>Model Fit</w:t>
            </w:r>
          </w:p>
        </w:tc>
        <w:tc>
          <w:tcPr>
            <w:tcW w:w="0" w:type="auto"/>
            <w:hideMark/>
          </w:tcPr>
          <w:p w14:paraId="537F51D9"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Cox &amp; Snell R²</w:t>
            </w:r>
          </w:p>
        </w:tc>
        <w:tc>
          <w:tcPr>
            <w:tcW w:w="0" w:type="auto"/>
            <w:hideMark/>
          </w:tcPr>
          <w:p w14:paraId="5673E479"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0.314 (31.4%)</w:t>
            </w:r>
          </w:p>
        </w:tc>
      </w:tr>
      <w:tr w:rsidR="009E1BD4" w:rsidRPr="0018251A" w14:paraId="1C8E8C11" w14:textId="77777777" w:rsidTr="009E1B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FE4914" w14:textId="77777777" w:rsidR="009E1BD4" w:rsidRPr="0018251A" w:rsidRDefault="009E1BD4" w:rsidP="009E1BD4">
            <w:pPr>
              <w:rPr>
                <w:b w:val="0"/>
                <w:bCs w:val="0"/>
                <w:color w:val="000000" w:themeColor="text1"/>
                <w:sz w:val="24"/>
                <w:szCs w:val="24"/>
                <w:lang w:val="en-US" w:bidi="hi-IN"/>
              </w:rPr>
            </w:pPr>
          </w:p>
        </w:tc>
        <w:tc>
          <w:tcPr>
            <w:tcW w:w="0" w:type="auto"/>
            <w:hideMark/>
          </w:tcPr>
          <w:p w14:paraId="49464142"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Nagelkerke R²</w:t>
            </w:r>
          </w:p>
        </w:tc>
        <w:tc>
          <w:tcPr>
            <w:tcW w:w="0" w:type="auto"/>
            <w:hideMark/>
          </w:tcPr>
          <w:p w14:paraId="27425546"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0.456 (45.6%)</w:t>
            </w:r>
          </w:p>
        </w:tc>
      </w:tr>
      <w:tr w:rsidR="009E1BD4" w:rsidRPr="0018251A" w14:paraId="3B60233E" w14:textId="77777777" w:rsidTr="009E1B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A01AAE" w14:textId="77777777" w:rsidR="009E1BD4" w:rsidRPr="0018251A" w:rsidRDefault="009E1BD4" w:rsidP="009E1BD4">
            <w:pPr>
              <w:rPr>
                <w:b w:val="0"/>
                <w:bCs w:val="0"/>
                <w:color w:val="000000" w:themeColor="text1"/>
                <w:sz w:val="24"/>
                <w:szCs w:val="24"/>
                <w:lang w:val="en-US" w:bidi="hi-IN"/>
              </w:rPr>
            </w:pPr>
          </w:p>
        </w:tc>
        <w:tc>
          <w:tcPr>
            <w:tcW w:w="0" w:type="auto"/>
            <w:hideMark/>
          </w:tcPr>
          <w:p w14:paraId="502C4905"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Hosmer-Lemeshow Test (χ², df, p)</w:t>
            </w:r>
          </w:p>
        </w:tc>
        <w:tc>
          <w:tcPr>
            <w:tcW w:w="0" w:type="auto"/>
            <w:hideMark/>
          </w:tcPr>
          <w:p w14:paraId="4DFA2D6A"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8.933, 4, 0.063</w:t>
            </w:r>
          </w:p>
        </w:tc>
      </w:tr>
      <w:tr w:rsidR="009E1BD4" w:rsidRPr="0018251A" w14:paraId="6DFD7AFB" w14:textId="77777777" w:rsidTr="009E1B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34CCD3" w14:textId="77777777" w:rsidR="009E1BD4" w:rsidRPr="0018251A" w:rsidRDefault="009E1BD4" w:rsidP="009E1BD4">
            <w:pPr>
              <w:rPr>
                <w:b w:val="0"/>
                <w:bCs w:val="0"/>
                <w:color w:val="000000" w:themeColor="text1"/>
                <w:sz w:val="24"/>
                <w:szCs w:val="24"/>
                <w:lang w:val="en-US" w:bidi="hi-IN"/>
              </w:rPr>
            </w:pPr>
            <w:r w:rsidRPr="0018251A">
              <w:rPr>
                <w:b w:val="0"/>
                <w:bCs w:val="0"/>
                <w:color w:val="000000" w:themeColor="text1"/>
                <w:sz w:val="24"/>
                <w:szCs w:val="24"/>
                <w:lang w:val="en-US" w:bidi="hi-IN"/>
              </w:rPr>
              <w:t>Classification Accuracy</w:t>
            </w:r>
          </w:p>
        </w:tc>
        <w:tc>
          <w:tcPr>
            <w:tcW w:w="0" w:type="auto"/>
            <w:hideMark/>
          </w:tcPr>
          <w:p w14:paraId="6EA2A98B" w14:textId="5C403744"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Baseline Accuracy</w:t>
            </w:r>
          </w:p>
        </w:tc>
        <w:tc>
          <w:tcPr>
            <w:tcW w:w="0" w:type="auto"/>
            <w:hideMark/>
          </w:tcPr>
          <w:p w14:paraId="714F331A"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73.1%</w:t>
            </w:r>
          </w:p>
        </w:tc>
      </w:tr>
      <w:tr w:rsidR="009E1BD4" w:rsidRPr="0018251A" w14:paraId="12D5B7EC" w14:textId="77777777" w:rsidTr="009E1B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3EC04" w14:textId="77777777" w:rsidR="009E1BD4" w:rsidRPr="0018251A" w:rsidRDefault="009E1BD4" w:rsidP="009E1BD4">
            <w:pPr>
              <w:rPr>
                <w:b w:val="0"/>
                <w:bCs w:val="0"/>
                <w:color w:val="000000" w:themeColor="text1"/>
                <w:sz w:val="24"/>
                <w:szCs w:val="24"/>
                <w:lang w:val="en-US" w:bidi="hi-IN"/>
              </w:rPr>
            </w:pPr>
          </w:p>
        </w:tc>
        <w:tc>
          <w:tcPr>
            <w:tcW w:w="0" w:type="auto"/>
            <w:hideMark/>
          </w:tcPr>
          <w:p w14:paraId="04622076" w14:textId="16991183"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Overall Accuracy</w:t>
            </w:r>
          </w:p>
        </w:tc>
        <w:tc>
          <w:tcPr>
            <w:tcW w:w="0" w:type="auto"/>
            <w:hideMark/>
          </w:tcPr>
          <w:p w14:paraId="4383FB86"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83.7%</w:t>
            </w:r>
          </w:p>
        </w:tc>
      </w:tr>
      <w:tr w:rsidR="009E1BD4" w:rsidRPr="0018251A" w14:paraId="35EB0EA0" w14:textId="77777777" w:rsidTr="009E1B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FD84DE" w14:textId="77777777" w:rsidR="009E1BD4" w:rsidRPr="0018251A" w:rsidRDefault="009E1BD4" w:rsidP="009E1BD4">
            <w:pPr>
              <w:rPr>
                <w:b w:val="0"/>
                <w:bCs w:val="0"/>
                <w:color w:val="000000" w:themeColor="text1"/>
                <w:sz w:val="24"/>
                <w:szCs w:val="24"/>
                <w:lang w:val="en-US" w:bidi="hi-IN"/>
              </w:rPr>
            </w:pPr>
          </w:p>
        </w:tc>
        <w:tc>
          <w:tcPr>
            <w:tcW w:w="0" w:type="auto"/>
            <w:hideMark/>
          </w:tcPr>
          <w:p w14:paraId="37DF11F7" w14:textId="242E7729"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"Yes" Response Accuracy</w:t>
            </w:r>
          </w:p>
        </w:tc>
        <w:tc>
          <w:tcPr>
            <w:tcW w:w="0" w:type="auto"/>
            <w:hideMark/>
          </w:tcPr>
          <w:p w14:paraId="03C0F7FE"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90.8%</w:t>
            </w:r>
          </w:p>
        </w:tc>
      </w:tr>
      <w:tr w:rsidR="009E1BD4" w:rsidRPr="0018251A" w14:paraId="2ED99474" w14:textId="77777777" w:rsidTr="009E1B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9CCE2B" w14:textId="77777777" w:rsidR="009E1BD4" w:rsidRPr="0018251A" w:rsidRDefault="009E1BD4" w:rsidP="009E1BD4">
            <w:pPr>
              <w:rPr>
                <w:b w:val="0"/>
                <w:bCs w:val="0"/>
                <w:color w:val="000000" w:themeColor="text1"/>
                <w:sz w:val="24"/>
                <w:szCs w:val="24"/>
                <w:lang w:val="en-US" w:bidi="hi-IN"/>
              </w:rPr>
            </w:pPr>
          </w:p>
        </w:tc>
        <w:tc>
          <w:tcPr>
            <w:tcW w:w="0" w:type="auto"/>
            <w:hideMark/>
          </w:tcPr>
          <w:p w14:paraId="3B9E0A62" w14:textId="6184B4CD"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"No" Response Accuracy</w:t>
            </w:r>
          </w:p>
        </w:tc>
        <w:tc>
          <w:tcPr>
            <w:tcW w:w="0" w:type="auto"/>
            <w:hideMark/>
          </w:tcPr>
          <w:p w14:paraId="3901255F"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64.3%</w:t>
            </w:r>
          </w:p>
        </w:tc>
      </w:tr>
      <w:tr w:rsidR="009E1BD4" w:rsidRPr="0018251A" w14:paraId="74FAE5E7" w14:textId="77777777" w:rsidTr="009E1B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20FC61" w14:textId="77777777" w:rsidR="009E1BD4" w:rsidRPr="0018251A" w:rsidRDefault="009E1BD4" w:rsidP="009E1BD4">
            <w:pPr>
              <w:rPr>
                <w:b w:val="0"/>
                <w:bCs w:val="0"/>
                <w:color w:val="000000" w:themeColor="text1"/>
                <w:sz w:val="24"/>
                <w:szCs w:val="24"/>
                <w:lang w:val="en-US" w:bidi="hi-IN"/>
              </w:rPr>
            </w:pPr>
            <w:r w:rsidRPr="0018251A">
              <w:rPr>
                <w:b w:val="0"/>
                <w:bCs w:val="0"/>
                <w:color w:val="000000" w:themeColor="text1"/>
                <w:sz w:val="24"/>
                <w:szCs w:val="24"/>
                <w:lang w:val="en-US" w:bidi="hi-IN"/>
              </w:rPr>
              <w:t>Significant Predictors</w:t>
            </w:r>
          </w:p>
        </w:tc>
        <w:tc>
          <w:tcPr>
            <w:tcW w:w="0" w:type="auto"/>
            <w:hideMark/>
          </w:tcPr>
          <w:p w14:paraId="487F1810"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Industrialists (vs. Reference)</w:t>
            </w:r>
          </w:p>
        </w:tc>
        <w:tc>
          <w:tcPr>
            <w:tcW w:w="0" w:type="auto"/>
            <w:hideMark/>
          </w:tcPr>
          <w:p w14:paraId="4ECAFD32"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0.027, p = 0.004</w:t>
            </w:r>
          </w:p>
        </w:tc>
      </w:tr>
      <w:tr w:rsidR="009E1BD4" w:rsidRPr="0018251A" w14:paraId="380B036A" w14:textId="77777777" w:rsidTr="009E1B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2B8DE" w14:textId="77777777" w:rsidR="009E1BD4" w:rsidRPr="0018251A" w:rsidRDefault="009E1BD4" w:rsidP="009E1BD4">
            <w:pPr>
              <w:rPr>
                <w:b w:val="0"/>
                <w:bCs w:val="0"/>
                <w:color w:val="000000" w:themeColor="text1"/>
                <w:sz w:val="24"/>
                <w:szCs w:val="24"/>
                <w:lang w:val="en-US" w:bidi="hi-IN"/>
              </w:rPr>
            </w:pPr>
          </w:p>
        </w:tc>
        <w:tc>
          <w:tcPr>
            <w:tcW w:w="0" w:type="auto"/>
            <w:hideMark/>
          </w:tcPr>
          <w:p w14:paraId="788AF057"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Researchers (vs. Reference)</w:t>
            </w:r>
          </w:p>
        </w:tc>
        <w:tc>
          <w:tcPr>
            <w:tcW w:w="0" w:type="auto"/>
            <w:hideMark/>
          </w:tcPr>
          <w:p w14:paraId="053335B1"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0.027, p &lt; 0.001</w:t>
            </w:r>
          </w:p>
        </w:tc>
      </w:tr>
      <w:tr w:rsidR="009E1BD4" w:rsidRPr="0018251A" w14:paraId="041CA59F" w14:textId="77777777" w:rsidTr="009E1B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8ED97E" w14:textId="77777777" w:rsidR="009E1BD4" w:rsidRPr="0018251A" w:rsidRDefault="009E1BD4" w:rsidP="009E1BD4">
            <w:pPr>
              <w:rPr>
                <w:b w:val="0"/>
                <w:bCs w:val="0"/>
                <w:color w:val="000000" w:themeColor="text1"/>
                <w:sz w:val="24"/>
                <w:szCs w:val="24"/>
                <w:lang w:val="en-US" w:bidi="hi-IN"/>
              </w:rPr>
            </w:pPr>
          </w:p>
        </w:tc>
        <w:tc>
          <w:tcPr>
            <w:tcW w:w="0" w:type="auto"/>
            <w:hideMark/>
          </w:tcPr>
          <w:p w14:paraId="183A8467"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Other Occupation (vs. Reference)</w:t>
            </w:r>
          </w:p>
        </w:tc>
        <w:tc>
          <w:tcPr>
            <w:tcW w:w="0" w:type="auto"/>
            <w:hideMark/>
          </w:tcPr>
          <w:p w14:paraId="17F61DCA"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0.056, p &lt; 0.001</w:t>
            </w:r>
          </w:p>
        </w:tc>
      </w:tr>
      <w:tr w:rsidR="009E1BD4" w:rsidRPr="0018251A" w14:paraId="5B52DE31" w14:textId="77777777" w:rsidTr="009E1B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A68BA" w14:textId="77777777" w:rsidR="009E1BD4" w:rsidRPr="0018251A" w:rsidRDefault="009E1BD4" w:rsidP="009E1BD4">
            <w:pPr>
              <w:rPr>
                <w:b w:val="0"/>
                <w:bCs w:val="0"/>
                <w:color w:val="000000" w:themeColor="text1"/>
                <w:sz w:val="24"/>
                <w:szCs w:val="24"/>
                <w:lang w:val="en-US" w:bidi="hi-IN"/>
              </w:rPr>
            </w:pPr>
          </w:p>
        </w:tc>
        <w:tc>
          <w:tcPr>
            <w:tcW w:w="0" w:type="auto"/>
            <w:hideMark/>
          </w:tcPr>
          <w:p w14:paraId="5C60889A"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Age (Older Categories)</w:t>
            </w:r>
          </w:p>
        </w:tc>
        <w:tc>
          <w:tcPr>
            <w:tcW w:w="0" w:type="auto"/>
            <w:hideMark/>
          </w:tcPr>
          <w:p w14:paraId="7E655E66" w14:textId="77777777" w:rsidR="009E1BD4" w:rsidRPr="0018251A" w:rsidRDefault="009E1BD4" w:rsidP="009E1BD4">
            <w:pPr>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14.6–71.7, p &lt; 0.001</w:t>
            </w:r>
          </w:p>
        </w:tc>
      </w:tr>
      <w:tr w:rsidR="009E1BD4" w:rsidRPr="0018251A" w14:paraId="13AA2EF6" w14:textId="77777777" w:rsidTr="009E1B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22D7B8" w14:textId="77777777" w:rsidR="009E1BD4" w:rsidRPr="0018251A" w:rsidRDefault="009E1BD4" w:rsidP="009E1BD4">
            <w:pPr>
              <w:rPr>
                <w:b w:val="0"/>
                <w:bCs w:val="0"/>
                <w:color w:val="000000" w:themeColor="text1"/>
                <w:sz w:val="24"/>
                <w:szCs w:val="24"/>
                <w:lang w:val="en-US" w:bidi="hi-IN"/>
              </w:rPr>
            </w:pPr>
            <w:r w:rsidRPr="0018251A">
              <w:rPr>
                <w:b w:val="0"/>
                <w:bCs w:val="0"/>
                <w:color w:val="000000" w:themeColor="text1"/>
                <w:sz w:val="24"/>
                <w:szCs w:val="24"/>
                <w:lang w:val="en-US" w:bidi="hi-IN"/>
              </w:rPr>
              <w:t>Non-Significant Predictors</w:t>
            </w:r>
          </w:p>
        </w:tc>
        <w:tc>
          <w:tcPr>
            <w:tcW w:w="0" w:type="auto"/>
            <w:hideMark/>
          </w:tcPr>
          <w:p w14:paraId="74BA601E"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Gender</w:t>
            </w:r>
          </w:p>
        </w:tc>
        <w:tc>
          <w:tcPr>
            <w:tcW w:w="0" w:type="auto"/>
            <w:hideMark/>
          </w:tcPr>
          <w:p w14:paraId="2D065A88" w14:textId="77777777" w:rsidR="009E1BD4" w:rsidRPr="0018251A" w:rsidRDefault="009E1BD4" w:rsidP="009E1BD4">
            <w:pPr>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US" w:bidi="hi-IN"/>
              </w:rPr>
            </w:pPr>
            <w:r w:rsidRPr="0018251A">
              <w:rPr>
                <w:color w:val="000000" w:themeColor="text1"/>
                <w:sz w:val="24"/>
                <w:szCs w:val="24"/>
                <w:lang w:val="en-US" w:bidi="hi-IN"/>
              </w:rPr>
              <w:t>OR = 1.464, p = 0.397</w:t>
            </w:r>
          </w:p>
        </w:tc>
      </w:tr>
    </w:tbl>
    <w:p w14:paraId="332607DF" w14:textId="77777777" w:rsidR="001C0AEE" w:rsidRPr="0018251A" w:rsidRDefault="001C0AEE" w:rsidP="00DD25EC">
      <w:pPr>
        <w:pStyle w:val="BodyText0"/>
      </w:pPr>
    </w:p>
    <w:p w14:paraId="00EF7D5E" w14:textId="77777777" w:rsidR="00796405" w:rsidRPr="0018251A" w:rsidRDefault="00796405" w:rsidP="00796405">
      <w:pPr>
        <w:jc w:val="both"/>
        <w:rPr>
          <w:rFonts w:eastAsia="Aptos"/>
          <w:color w:val="000000" w:themeColor="text1"/>
          <w:sz w:val="24"/>
          <w:szCs w:val="24"/>
        </w:rPr>
      </w:pPr>
    </w:p>
    <w:p w14:paraId="7993BD53" w14:textId="16F6BD53" w:rsidR="001C0AEE" w:rsidRPr="0018251A" w:rsidRDefault="00796405" w:rsidP="0018251A">
      <w:pPr>
        <w:spacing w:line="360" w:lineRule="auto"/>
        <w:jc w:val="both"/>
        <w:rPr>
          <w:rFonts w:eastAsia="Aptos"/>
          <w:color w:val="000000" w:themeColor="text1"/>
          <w:sz w:val="24"/>
          <w:szCs w:val="24"/>
        </w:rPr>
      </w:pPr>
      <w:r w:rsidRPr="0018251A">
        <w:rPr>
          <w:rFonts w:eastAsia="Aptos"/>
          <w:color w:val="000000" w:themeColor="text1"/>
          <w:sz w:val="24"/>
          <w:szCs w:val="24"/>
        </w:rPr>
        <w:t>There is a</w:t>
      </w:r>
      <w:r w:rsidR="001C0AEE" w:rsidRPr="0018251A">
        <w:rPr>
          <w:rFonts w:eastAsia="Aptos"/>
          <w:color w:val="000000" w:themeColor="text1"/>
          <w:sz w:val="24"/>
          <w:szCs w:val="24"/>
        </w:rPr>
        <w:t xml:space="preserve"> strong association between occupation level and awareness of textile-induced water pollution (χ² = 49.780, p &lt; 0.001, Cramér’s V = 0.489). Senior roles demonstrated heightened awareness, likely due to greater access to industry-specific information and regulatory exposure.</w:t>
      </w:r>
      <w:r w:rsidR="008E7F5D" w:rsidRPr="0018251A">
        <w:rPr>
          <w:rFonts w:eastAsia="Aptos"/>
          <w:color w:val="000000" w:themeColor="text1"/>
          <w:sz w:val="24"/>
          <w:szCs w:val="24"/>
        </w:rPr>
        <w:t xml:space="preserve"> </w:t>
      </w:r>
      <w:r w:rsidR="001C0AEE" w:rsidRPr="0018251A">
        <w:rPr>
          <w:rFonts w:eastAsia="Aptos"/>
          <w:color w:val="000000" w:themeColor="text1"/>
          <w:sz w:val="24"/>
          <w:szCs w:val="24"/>
        </w:rPr>
        <w:t xml:space="preserve">Higher occupational tiers correlated significantly with ZLD familiarity (χ² = 12.506, p = 0.006), though 25% of cells had low expected counts, urging cautious interpretation. This aligns with the abstract’s emphasis on senior professionals’ openness to </w:t>
      </w:r>
      <w:r w:rsidR="001C0AEE" w:rsidRPr="0018251A">
        <w:rPr>
          <w:rFonts w:eastAsia="Aptos"/>
          <w:color w:val="000000" w:themeColor="text1"/>
          <w:sz w:val="24"/>
          <w:szCs w:val="24"/>
        </w:rPr>
        <w:lastRenderedPageBreak/>
        <w:t>advanced solutions.</w:t>
      </w:r>
      <w:r w:rsidR="0018251A" w:rsidRPr="0018251A">
        <w:rPr>
          <w:rFonts w:eastAsia="Aptos"/>
          <w:color w:val="000000" w:themeColor="text1"/>
          <w:sz w:val="24"/>
          <w:szCs w:val="24"/>
        </w:rPr>
        <w:t xml:space="preserve"> </w:t>
      </w:r>
      <w:r w:rsidR="001C0AEE" w:rsidRPr="0018251A">
        <w:rPr>
          <w:rFonts w:eastAsia="Aptos"/>
          <w:color w:val="000000" w:themeColor="text1"/>
          <w:sz w:val="24"/>
          <w:szCs w:val="24"/>
        </w:rPr>
        <w:t>Gender showed no significant link to support for mandatory wastewater treatment (χ² = 3.480, p = 0.062), suggesting universal advocacy across demographics.</w:t>
      </w:r>
    </w:p>
    <w:p w14:paraId="626A6CF3" w14:textId="77777777" w:rsidR="00BC5C7E" w:rsidRPr="0018251A" w:rsidRDefault="00BC5C7E" w:rsidP="00BC5C7E">
      <w:pPr>
        <w:jc w:val="both"/>
        <w:rPr>
          <w:rFonts w:eastAsia="Aptos"/>
          <w:i/>
          <w:iCs/>
          <w:color w:val="000000" w:themeColor="text1"/>
          <w:sz w:val="24"/>
          <w:szCs w:val="24"/>
        </w:rPr>
      </w:pPr>
    </w:p>
    <w:p w14:paraId="479E3B2C" w14:textId="7D2875F3" w:rsidR="001C0AEE" w:rsidRPr="0018251A" w:rsidRDefault="001C0AEE" w:rsidP="0018251A">
      <w:pPr>
        <w:spacing w:line="360" w:lineRule="auto"/>
        <w:jc w:val="both"/>
        <w:rPr>
          <w:rFonts w:eastAsia="Aptos"/>
          <w:color w:val="000000" w:themeColor="text1"/>
          <w:sz w:val="24"/>
          <w:szCs w:val="24"/>
        </w:rPr>
      </w:pPr>
      <w:r w:rsidRPr="0018251A">
        <w:rPr>
          <w:rFonts w:eastAsia="Aptos"/>
          <w:color w:val="000000" w:themeColor="text1"/>
          <w:sz w:val="24"/>
          <w:szCs w:val="24"/>
        </w:rPr>
        <w:t xml:space="preserve">Binary regression revealed that environmental concern was the strongest predictor. Respondents with high concern had 13.9x higher odds of paying extra for eco-friendly textiles (OR = 13.919, p &lt; 0.001). Occupation level and gender were insignificant, indicating </w:t>
      </w:r>
      <w:r w:rsidR="0018251A" w:rsidRPr="0018251A">
        <w:rPr>
          <w:rFonts w:eastAsia="Aptos"/>
          <w:color w:val="000000" w:themeColor="text1"/>
          <w:sz w:val="24"/>
          <w:szCs w:val="24"/>
        </w:rPr>
        <w:t xml:space="preserve">that </w:t>
      </w:r>
      <w:r w:rsidRPr="0018251A">
        <w:rPr>
          <w:rFonts w:eastAsia="Aptos"/>
          <w:color w:val="000000" w:themeColor="text1"/>
          <w:sz w:val="24"/>
          <w:szCs w:val="24"/>
        </w:rPr>
        <w:t>consumer attitudes transcend job roles.</w:t>
      </w:r>
      <w:r w:rsidR="0018251A" w:rsidRPr="0018251A">
        <w:rPr>
          <w:rFonts w:eastAsia="Aptos"/>
          <w:color w:val="000000" w:themeColor="text1"/>
          <w:sz w:val="24"/>
          <w:szCs w:val="24"/>
        </w:rPr>
        <w:t xml:space="preserve"> </w:t>
      </w:r>
      <w:r w:rsidRPr="0018251A">
        <w:rPr>
          <w:rFonts w:eastAsia="Aptos"/>
          <w:color w:val="000000" w:themeColor="text1"/>
          <w:sz w:val="24"/>
          <w:szCs w:val="24"/>
        </w:rPr>
        <w:t>Familiarity with ZLD drastically increased support for industry accountability (OR = 11.871, p &lt; 0.001), underscoring the role of technical knowledge in policy advocacy. Industrialists, however, were less supportive (OR = 0.037, p &lt; 0.001), reflecting potential conflicts of interest.</w:t>
      </w:r>
      <w:r w:rsidR="0018251A" w:rsidRPr="0018251A">
        <w:rPr>
          <w:rFonts w:eastAsia="Aptos"/>
          <w:color w:val="000000" w:themeColor="text1"/>
          <w:sz w:val="24"/>
          <w:szCs w:val="24"/>
        </w:rPr>
        <w:t xml:space="preserve"> </w:t>
      </w:r>
      <w:r w:rsidRPr="0018251A">
        <w:rPr>
          <w:rFonts w:eastAsia="Aptos"/>
          <w:color w:val="000000" w:themeColor="text1"/>
          <w:sz w:val="24"/>
          <w:szCs w:val="24"/>
        </w:rPr>
        <w:t>Older respondents and non-industry roles (e.g., academics) exhibited significantly higher awareness (OR = 14.62–71.68, p &lt; 0.001), emphasizing age and sectoral divides in environmental literacy.</w:t>
      </w:r>
      <w:r w:rsidR="0018251A" w:rsidRPr="0018251A">
        <w:rPr>
          <w:rFonts w:eastAsia="Aptos"/>
          <w:color w:val="000000" w:themeColor="text1"/>
          <w:sz w:val="24"/>
          <w:szCs w:val="24"/>
        </w:rPr>
        <w:t xml:space="preserve"> </w:t>
      </w:r>
      <w:r w:rsidRPr="0018251A">
        <w:rPr>
          <w:rFonts w:eastAsia="Aptos"/>
          <w:color w:val="000000" w:themeColor="text1"/>
          <w:sz w:val="24"/>
          <w:szCs w:val="24"/>
        </w:rPr>
        <w:t>Senior roles’ familiarity with ZLD and pollution awareness suggests top-down educational initiatives could trickle down to entry-level workers, addressing knowledge gaps.</w:t>
      </w:r>
      <w:r w:rsidR="0018251A" w:rsidRPr="0018251A">
        <w:rPr>
          <w:rFonts w:eastAsia="Aptos"/>
          <w:color w:val="000000" w:themeColor="text1"/>
          <w:sz w:val="24"/>
          <w:szCs w:val="24"/>
        </w:rPr>
        <w:t xml:space="preserve"> </w:t>
      </w:r>
      <w:r w:rsidRPr="0018251A">
        <w:rPr>
          <w:rFonts w:eastAsia="Aptos"/>
          <w:color w:val="000000" w:themeColor="text1"/>
          <w:sz w:val="24"/>
          <w:szCs w:val="24"/>
        </w:rPr>
        <w:t>The strong public support for wastewater treatment (Fig. 5) and accountability (Fig. 9) underscores the need for stricter regulations, particularly in industrial zones.</w:t>
      </w:r>
      <w:r w:rsidR="0018251A" w:rsidRPr="0018251A">
        <w:rPr>
          <w:rFonts w:eastAsia="Aptos"/>
          <w:color w:val="000000" w:themeColor="text1"/>
          <w:sz w:val="24"/>
          <w:szCs w:val="24"/>
        </w:rPr>
        <w:t xml:space="preserve"> </w:t>
      </w:r>
      <w:r w:rsidRPr="0018251A">
        <w:rPr>
          <w:rFonts w:eastAsia="Aptos"/>
          <w:color w:val="000000" w:themeColor="text1"/>
          <w:sz w:val="24"/>
          <w:szCs w:val="24"/>
        </w:rPr>
        <w:t>ZLD’s prominence in accountability models advocates for subsidizing advanced treatment technologies.</w:t>
      </w:r>
    </w:p>
    <w:p w14:paraId="622D6A4A" w14:textId="77777777" w:rsidR="00BC5C7E" w:rsidRPr="0018251A" w:rsidRDefault="00BC5C7E" w:rsidP="00BC5C7E">
      <w:pPr>
        <w:jc w:val="both"/>
        <w:rPr>
          <w:rFonts w:eastAsia="Aptos"/>
          <w:color w:val="000000" w:themeColor="text1"/>
          <w:sz w:val="24"/>
          <w:szCs w:val="24"/>
        </w:rPr>
      </w:pPr>
    </w:p>
    <w:p w14:paraId="570F94C1" w14:textId="77777777" w:rsidR="00BC5C7E" w:rsidRPr="0018251A" w:rsidRDefault="00BC5C7E" w:rsidP="00BC5C7E">
      <w:pPr>
        <w:jc w:val="both"/>
        <w:rPr>
          <w:rFonts w:eastAsia="Aptos"/>
          <w:color w:val="000000" w:themeColor="text1"/>
          <w:sz w:val="24"/>
          <w:szCs w:val="24"/>
        </w:rPr>
      </w:pPr>
    </w:p>
    <w:p w14:paraId="4271CADB" w14:textId="1F8A8F29" w:rsidR="001509C2" w:rsidRPr="0018251A" w:rsidRDefault="00BC5C7E" w:rsidP="00BC5C7E">
      <w:pPr>
        <w:pStyle w:val="SECTIONHEADING"/>
        <w:numPr>
          <w:ilvl w:val="0"/>
          <w:numId w:val="0"/>
        </w:numPr>
        <w:spacing w:before="0" w:after="0"/>
      </w:pPr>
      <w:bookmarkStart w:id="0" w:name="_Toc370571639"/>
      <w:bookmarkStart w:id="1" w:name="_Toc371507090"/>
      <w:r w:rsidRPr="0018251A">
        <w:t xml:space="preserve">6. </w:t>
      </w:r>
      <w:r w:rsidR="00F51743" w:rsidRPr="0018251A">
        <w:t>Conclusions</w:t>
      </w:r>
    </w:p>
    <w:p w14:paraId="2280198A" w14:textId="74F39BA7" w:rsidR="004763E5" w:rsidRPr="0018251A" w:rsidRDefault="004763E5" w:rsidP="00BC5C7E">
      <w:pPr>
        <w:pStyle w:val="Textbloc"/>
        <w:rPr>
          <w:rFonts w:ascii="Times New Roman" w:hAnsi="Times New Roman"/>
          <w:sz w:val="24"/>
        </w:rPr>
      </w:pPr>
    </w:p>
    <w:p w14:paraId="0FE7510F" w14:textId="77777777" w:rsidR="00BC5C7E" w:rsidRPr="0018251A" w:rsidRDefault="00BC5C7E" w:rsidP="0018251A">
      <w:pPr>
        <w:spacing w:line="360" w:lineRule="auto"/>
        <w:jc w:val="both"/>
        <w:rPr>
          <w:rFonts w:eastAsia="Aptos"/>
          <w:color w:val="000000" w:themeColor="text1"/>
          <w:sz w:val="24"/>
          <w:szCs w:val="24"/>
        </w:rPr>
      </w:pPr>
      <w:r w:rsidRPr="0018251A">
        <w:rPr>
          <w:rFonts w:eastAsia="Aptos"/>
          <w:color w:val="000000" w:themeColor="text1"/>
          <w:sz w:val="24"/>
          <w:szCs w:val="24"/>
        </w:rPr>
        <w:t>This study identifies occupational hierarchy, age, and technical knowledge as pivotal drivers of sustainability attitudes in Bangladesh’s textile sector. While environmental concern and ZLD awareness foster accountability, institutional inertia among industrialists persist as a barrier. Addressing these challenges requires collaborative policies, education, and equitable technological adoption to achieve the vision of a sustainable textile industry.</w:t>
      </w:r>
    </w:p>
    <w:p w14:paraId="5F967911" w14:textId="77777777" w:rsidR="00BC5C7E" w:rsidRPr="0018251A" w:rsidRDefault="00BC5C7E" w:rsidP="00BC5C7E">
      <w:pPr>
        <w:jc w:val="both"/>
        <w:rPr>
          <w:rFonts w:eastAsia="Aptos"/>
          <w:color w:val="000000" w:themeColor="text1"/>
          <w:sz w:val="24"/>
          <w:szCs w:val="24"/>
        </w:rPr>
      </w:pPr>
    </w:p>
    <w:bookmarkEnd w:id="0"/>
    <w:bookmarkEnd w:id="1"/>
    <w:p w14:paraId="0CFB48A9" w14:textId="77777777" w:rsidR="0085281B" w:rsidRPr="0018251A" w:rsidRDefault="0085281B" w:rsidP="0085281B">
      <w:pPr>
        <w:pStyle w:val="SECTIONWITHOUTNUMBER"/>
        <w:spacing w:before="0" w:after="0"/>
        <w:jc w:val="both"/>
      </w:pPr>
    </w:p>
    <w:p w14:paraId="7D00811D" w14:textId="265F0190" w:rsidR="0085281B" w:rsidRPr="0018251A" w:rsidRDefault="00C3307C" w:rsidP="0085281B">
      <w:pPr>
        <w:pStyle w:val="SECTIONWITHOUTNUMBER"/>
        <w:spacing w:before="0" w:after="0"/>
      </w:pPr>
      <w:r w:rsidRPr="0018251A">
        <w:t>References</w:t>
      </w:r>
    </w:p>
    <w:p w14:paraId="172BA336" w14:textId="77777777" w:rsidR="0085281B" w:rsidRPr="0018251A" w:rsidRDefault="0085281B" w:rsidP="0085281B">
      <w:pPr>
        <w:pStyle w:val="SECTIONWITHOUTNUMBER"/>
        <w:spacing w:before="0" w:after="0"/>
      </w:pPr>
    </w:p>
    <w:p w14:paraId="17663DE8" w14:textId="2CC55AE9" w:rsidR="0085281B" w:rsidRDefault="0085281B" w:rsidP="0085281B">
      <w:pPr>
        <w:pStyle w:val="biblio"/>
        <w:ind w:left="562" w:hanging="562"/>
        <w:rPr>
          <w:rFonts w:eastAsia="Calibri"/>
          <w:snapToGrid/>
          <w:color w:val="auto"/>
          <w:sz w:val="24"/>
          <w:szCs w:val="24"/>
        </w:rPr>
      </w:pPr>
      <w:r w:rsidRPr="0018251A">
        <w:rPr>
          <w:rFonts w:eastAsia="Calibri"/>
          <w:snapToGrid/>
          <w:color w:val="auto"/>
          <w:sz w:val="24"/>
          <w:szCs w:val="24"/>
        </w:rPr>
        <w:t xml:space="preserve">[1] </w:t>
      </w:r>
      <w:r w:rsidRPr="0018251A">
        <w:rPr>
          <w:rFonts w:eastAsia="Calibri"/>
          <w:snapToGrid/>
          <w:color w:val="auto"/>
          <w:sz w:val="24"/>
          <w:szCs w:val="24"/>
        </w:rPr>
        <w:tab/>
        <w:t xml:space="preserve">C. Espinosa, “Can California’s Fashion Act keep the industry on track under Trump?,” Vogue Business, Feb. 11, 2025. Accessed: Feb. 25, 2025. [Online]. Available: https://www.voguebusiness.com/story/sustainability/can-californias-fashion-act-keep-the-industry-on-track-under-trump </w:t>
      </w:r>
    </w:p>
    <w:p w14:paraId="2A3D61E1" w14:textId="77777777" w:rsidR="0018251A" w:rsidRPr="0018251A" w:rsidRDefault="0018251A" w:rsidP="0085281B">
      <w:pPr>
        <w:pStyle w:val="biblio"/>
        <w:ind w:left="562" w:hanging="562"/>
        <w:rPr>
          <w:rFonts w:eastAsia="Calibri"/>
          <w:snapToGrid/>
          <w:color w:val="auto"/>
          <w:sz w:val="24"/>
          <w:szCs w:val="24"/>
        </w:rPr>
      </w:pPr>
    </w:p>
    <w:p w14:paraId="4861B73C" w14:textId="0FE0C849" w:rsidR="0085281B" w:rsidRDefault="0085281B" w:rsidP="0085281B">
      <w:pPr>
        <w:pStyle w:val="biblio"/>
        <w:ind w:left="562" w:hanging="562"/>
        <w:rPr>
          <w:rFonts w:eastAsia="Calibri"/>
          <w:snapToGrid/>
          <w:color w:val="auto"/>
          <w:sz w:val="24"/>
          <w:szCs w:val="24"/>
        </w:rPr>
      </w:pPr>
      <w:r w:rsidRPr="0018251A">
        <w:rPr>
          <w:rFonts w:eastAsia="Calibri"/>
          <w:snapToGrid/>
          <w:color w:val="auto"/>
          <w:sz w:val="24"/>
          <w:szCs w:val="24"/>
        </w:rPr>
        <w:t xml:space="preserve">[2] </w:t>
      </w:r>
      <w:r w:rsidRPr="0018251A">
        <w:rPr>
          <w:rFonts w:eastAsia="Calibri"/>
          <w:snapToGrid/>
          <w:color w:val="auto"/>
          <w:sz w:val="24"/>
          <w:szCs w:val="24"/>
        </w:rPr>
        <w:tab/>
        <w:t>G. Samchetshabam, A. Hussan, and T. G. Choudhury, “Impact of textile dyes waste on aquatic environments and its treatment,” Environment and Ecology, vol. 35, no. 3C, pp. 2349–2353, Dec. 2016</w:t>
      </w:r>
    </w:p>
    <w:p w14:paraId="3D70604D" w14:textId="77777777" w:rsidR="0018251A" w:rsidRPr="0018251A" w:rsidRDefault="0018251A" w:rsidP="0085281B">
      <w:pPr>
        <w:pStyle w:val="biblio"/>
        <w:ind w:left="562" w:hanging="562"/>
        <w:rPr>
          <w:rFonts w:eastAsia="Calibri"/>
          <w:snapToGrid/>
          <w:color w:val="auto"/>
          <w:sz w:val="24"/>
          <w:szCs w:val="24"/>
        </w:rPr>
      </w:pPr>
    </w:p>
    <w:p w14:paraId="67BF5D59" w14:textId="3BC03512" w:rsidR="0085281B" w:rsidRDefault="0085281B" w:rsidP="0085281B">
      <w:pPr>
        <w:pStyle w:val="biblio"/>
        <w:ind w:left="562" w:hanging="562"/>
        <w:rPr>
          <w:rFonts w:eastAsia="Calibri"/>
          <w:snapToGrid/>
          <w:color w:val="auto"/>
          <w:sz w:val="24"/>
          <w:szCs w:val="24"/>
        </w:rPr>
      </w:pPr>
      <w:r w:rsidRPr="0018251A">
        <w:rPr>
          <w:rFonts w:eastAsia="Calibri"/>
          <w:snapToGrid/>
          <w:color w:val="auto"/>
          <w:sz w:val="24"/>
          <w:szCs w:val="24"/>
        </w:rPr>
        <w:lastRenderedPageBreak/>
        <w:t xml:space="preserve">[3] S. Madhav, A. Ahamad, P. Singh, and P. K. Mishra, “A review of textile industry: Wet processing, environmental impacts, and effluent treatment methods,” Environmental Quality Management, vol. 27, no. 3, pp. 31–41, Mar. 2018, doi: </w:t>
      </w:r>
      <w:r w:rsidR="0018251A" w:rsidRPr="0018251A">
        <w:rPr>
          <w:rFonts w:eastAsia="Calibri"/>
          <w:snapToGrid/>
          <w:color w:val="auto"/>
          <w:sz w:val="24"/>
          <w:szCs w:val="24"/>
        </w:rPr>
        <w:t>https://doi.org/10.1002/tqem.21538</w:t>
      </w:r>
      <w:r w:rsidRPr="0018251A">
        <w:rPr>
          <w:rFonts w:eastAsia="Calibri"/>
          <w:snapToGrid/>
          <w:color w:val="auto"/>
          <w:sz w:val="24"/>
          <w:szCs w:val="24"/>
        </w:rPr>
        <w:t>.</w:t>
      </w:r>
    </w:p>
    <w:p w14:paraId="45AF70F9" w14:textId="77777777" w:rsidR="0018251A" w:rsidRPr="0018251A" w:rsidRDefault="0018251A" w:rsidP="0085281B">
      <w:pPr>
        <w:pStyle w:val="biblio"/>
        <w:ind w:left="562" w:hanging="562"/>
        <w:rPr>
          <w:rFonts w:eastAsia="Calibri"/>
          <w:snapToGrid/>
          <w:color w:val="auto"/>
          <w:sz w:val="24"/>
          <w:szCs w:val="24"/>
        </w:rPr>
      </w:pPr>
    </w:p>
    <w:p w14:paraId="7538450A" w14:textId="77777777" w:rsidR="0018251A" w:rsidRPr="0018251A" w:rsidRDefault="0018251A" w:rsidP="0018251A">
      <w:pPr>
        <w:pStyle w:val="biblio"/>
        <w:ind w:left="562" w:hanging="562"/>
        <w:rPr>
          <w:rFonts w:eastAsia="Calibri"/>
          <w:snapToGrid/>
          <w:color w:val="auto"/>
          <w:sz w:val="24"/>
          <w:szCs w:val="24"/>
        </w:rPr>
      </w:pPr>
      <w:r w:rsidRPr="0018251A">
        <w:rPr>
          <w:rFonts w:eastAsia="Calibri"/>
          <w:snapToGrid/>
          <w:color w:val="auto"/>
          <w:sz w:val="24"/>
          <w:szCs w:val="24"/>
        </w:rPr>
        <w:t>[4] R. Kishor et al., “Ecotoxicological and health concerns of persistent coloring pollutants of textile industry wastewater and treatment approaches for environmental safety,” Journal of Environmental Chemical Engineering, vol. 9, no. 2, p. 105012, Apr. 2021, doi: https://doi.org/10.1016/j.jece.2020.105012.</w:t>
      </w:r>
    </w:p>
    <w:p w14:paraId="2FDEA49E" w14:textId="77777777" w:rsidR="0018251A" w:rsidRPr="0018251A" w:rsidRDefault="0018251A" w:rsidP="0085281B">
      <w:pPr>
        <w:pStyle w:val="biblio"/>
        <w:ind w:left="562" w:hanging="562"/>
        <w:rPr>
          <w:rFonts w:eastAsia="Calibri"/>
          <w:snapToGrid/>
          <w:color w:val="auto"/>
          <w:sz w:val="24"/>
          <w:szCs w:val="24"/>
        </w:rPr>
      </w:pPr>
    </w:p>
    <w:p w14:paraId="336D1665" w14:textId="3B7D6907" w:rsidR="0085281B" w:rsidRDefault="0085281B" w:rsidP="0085281B">
      <w:pPr>
        <w:pStyle w:val="biblio"/>
        <w:ind w:left="562" w:hanging="562"/>
        <w:rPr>
          <w:rFonts w:eastAsia="Calibri"/>
          <w:snapToGrid/>
          <w:color w:val="auto"/>
          <w:sz w:val="24"/>
          <w:szCs w:val="24"/>
        </w:rPr>
      </w:pPr>
      <w:r w:rsidRPr="0018251A">
        <w:rPr>
          <w:rFonts w:eastAsia="Calibri"/>
          <w:snapToGrid/>
          <w:color w:val="auto"/>
          <w:sz w:val="24"/>
          <w:szCs w:val="24"/>
        </w:rPr>
        <w:t>[</w:t>
      </w:r>
      <w:r w:rsidR="0018251A" w:rsidRPr="0018251A">
        <w:rPr>
          <w:rFonts w:eastAsia="Calibri"/>
          <w:snapToGrid/>
          <w:color w:val="auto"/>
          <w:sz w:val="24"/>
          <w:szCs w:val="24"/>
        </w:rPr>
        <w:t>5</w:t>
      </w:r>
      <w:r w:rsidRPr="0018251A">
        <w:rPr>
          <w:rFonts w:eastAsia="Calibri"/>
          <w:snapToGrid/>
          <w:color w:val="auto"/>
          <w:sz w:val="24"/>
          <w:szCs w:val="24"/>
        </w:rPr>
        <w:t xml:space="preserve">] B. J. Singh, A. Chakraborty, and R. Sehgal, “A systematic review of industrial wastewater management: Evaluating challenges and enablers,” Journal of Environmental Management, vol. 348, p. 119230, Dec. 2023, Available: </w:t>
      </w:r>
      <w:r w:rsidR="0018251A" w:rsidRPr="0018251A">
        <w:rPr>
          <w:rFonts w:eastAsia="Calibri"/>
          <w:snapToGrid/>
          <w:color w:val="auto"/>
          <w:sz w:val="24"/>
          <w:szCs w:val="24"/>
        </w:rPr>
        <w:t>https://www.sciencedirect.com/science/article/pii/S0301479723020182</w:t>
      </w:r>
    </w:p>
    <w:p w14:paraId="7406EB78" w14:textId="77777777" w:rsidR="0018251A" w:rsidRPr="0018251A" w:rsidRDefault="0018251A" w:rsidP="0085281B">
      <w:pPr>
        <w:pStyle w:val="biblio"/>
        <w:ind w:left="562" w:hanging="562"/>
        <w:rPr>
          <w:rFonts w:eastAsia="Calibri"/>
          <w:snapToGrid/>
          <w:color w:val="auto"/>
          <w:sz w:val="24"/>
          <w:szCs w:val="24"/>
        </w:rPr>
      </w:pPr>
    </w:p>
    <w:p w14:paraId="7B00EC37" w14:textId="3CBE92FD" w:rsidR="0085281B" w:rsidRDefault="0085281B" w:rsidP="0085281B">
      <w:pPr>
        <w:pStyle w:val="biblio"/>
        <w:ind w:left="562" w:hanging="562"/>
        <w:rPr>
          <w:rFonts w:eastAsia="Calibri"/>
          <w:snapToGrid/>
          <w:color w:val="auto"/>
          <w:sz w:val="24"/>
          <w:szCs w:val="24"/>
        </w:rPr>
      </w:pPr>
      <w:r w:rsidRPr="0018251A">
        <w:rPr>
          <w:rFonts w:eastAsia="Calibri"/>
          <w:snapToGrid/>
          <w:color w:val="auto"/>
          <w:sz w:val="24"/>
          <w:szCs w:val="24"/>
        </w:rPr>
        <w:t>[</w:t>
      </w:r>
      <w:r w:rsidR="0018251A" w:rsidRPr="0018251A">
        <w:rPr>
          <w:rFonts w:eastAsia="Calibri"/>
          <w:snapToGrid/>
          <w:color w:val="auto"/>
          <w:sz w:val="24"/>
          <w:szCs w:val="24"/>
        </w:rPr>
        <w:t>6</w:t>
      </w:r>
      <w:r w:rsidRPr="0018251A">
        <w:rPr>
          <w:rFonts w:eastAsia="Calibri"/>
          <w:snapToGrid/>
          <w:color w:val="auto"/>
          <w:sz w:val="24"/>
          <w:szCs w:val="24"/>
        </w:rPr>
        <w:t xml:space="preserve">] P. Garrone, L. Grilli, A. Groppi, and R. Marzano, “Barriers and drivers in the adoption of advanced wastewater treatment technologies: a comparative analysis of Italian utilities,” Journal of Cleaner Production, vol. 171, pp. S69–S78, Jan. 2018, doi: </w:t>
      </w:r>
      <w:r w:rsidR="0018251A" w:rsidRPr="0018251A">
        <w:rPr>
          <w:rFonts w:eastAsia="Calibri"/>
          <w:snapToGrid/>
          <w:color w:val="auto"/>
          <w:sz w:val="24"/>
          <w:szCs w:val="24"/>
        </w:rPr>
        <w:t>https://doi.org/10.1016/j.jclepro.2016.02.018</w:t>
      </w:r>
      <w:r w:rsidRPr="0018251A">
        <w:rPr>
          <w:rFonts w:eastAsia="Calibri"/>
          <w:snapToGrid/>
          <w:color w:val="auto"/>
          <w:sz w:val="24"/>
          <w:szCs w:val="24"/>
        </w:rPr>
        <w:t>.</w:t>
      </w:r>
    </w:p>
    <w:p w14:paraId="64E5CAB6" w14:textId="77777777" w:rsidR="0018251A" w:rsidRPr="0018251A" w:rsidRDefault="0018251A" w:rsidP="0085281B">
      <w:pPr>
        <w:pStyle w:val="biblio"/>
        <w:ind w:left="562" w:hanging="562"/>
        <w:rPr>
          <w:rFonts w:eastAsia="Calibri"/>
          <w:snapToGrid/>
          <w:color w:val="auto"/>
          <w:sz w:val="24"/>
          <w:szCs w:val="24"/>
        </w:rPr>
      </w:pPr>
    </w:p>
    <w:p w14:paraId="6D72FDC7" w14:textId="5AFAAFED" w:rsidR="0085281B" w:rsidRPr="000F6770" w:rsidRDefault="0085281B" w:rsidP="0085281B">
      <w:pPr>
        <w:pStyle w:val="biblio"/>
        <w:ind w:left="562" w:hanging="562"/>
        <w:rPr>
          <w:rFonts w:eastAsia="Calibri"/>
          <w:snapToGrid/>
          <w:color w:val="auto"/>
          <w:sz w:val="24"/>
          <w:szCs w:val="24"/>
        </w:rPr>
      </w:pPr>
      <w:r w:rsidRPr="0018251A">
        <w:rPr>
          <w:rFonts w:eastAsia="Calibri"/>
          <w:snapToGrid/>
          <w:color w:val="auto"/>
          <w:sz w:val="24"/>
          <w:szCs w:val="24"/>
        </w:rPr>
        <w:t>[</w:t>
      </w:r>
      <w:r w:rsidR="0018251A" w:rsidRPr="0018251A">
        <w:rPr>
          <w:rFonts w:eastAsia="Calibri"/>
          <w:snapToGrid/>
          <w:color w:val="auto"/>
          <w:sz w:val="24"/>
          <w:szCs w:val="24"/>
        </w:rPr>
        <w:t>7</w:t>
      </w:r>
      <w:r w:rsidRPr="0018251A">
        <w:rPr>
          <w:rFonts w:eastAsia="Calibri"/>
          <w:snapToGrid/>
          <w:color w:val="auto"/>
          <w:sz w:val="24"/>
          <w:szCs w:val="24"/>
        </w:rPr>
        <w:t>] A. Farrukh and A. Sajjad, “Drivers for and barriers to circular economy transition in the textile industry: A developing economy perspective,” Sustainable Development, Jun. 2024, doi: https://doi.org/10.1002/sd.3088.</w:t>
      </w:r>
    </w:p>
    <w:p w14:paraId="44C1B37E" w14:textId="11EE2333" w:rsidR="00A27166" w:rsidRPr="000F6770" w:rsidRDefault="00A27166" w:rsidP="00552F13">
      <w:pPr>
        <w:pStyle w:val="biblio"/>
        <w:ind w:left="562" w:hanging="562"/>
        <w:rPr>
          <w:sz w:val="24"/>
          <w:szCs w:val="24"/>
        </w:rPr>
      </w:pPr>
    </w:p>
    <w:sectPr w:rsidR="00A27166" w:rsidRPr="000F6770" w:rsidSect="008F3499">
      <w:headerReference w:type="default" r:id="rId10"/>
      <w:footerReference w:type="even" r:id="rId11"/>
      <w:footerReference w:type="default" r:id="rId12"/>
      <w:headerReference w:type="first" r:id="rId13"/>
      <w:pgSz w:w="11909" w:h="16834" w:code="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D7DFA" w14:textId="77777777" w:rsidR="008C71CD" w:rsidRDefault="008C71CD">
      <w:r>
        <w:separator/>
      </w:r>
    </w:p>
  </w:endnote>
  <w:endnote w:type="continuationSeparator" w:id="0">
    <w:p w14:paraId="0F734FB9" w14:textId="77777777" w:rsidR="008C71CD" w:rsidRDefault="008C7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BCB72" w14:textId="77777777" w:rsidR="002E426C" w:rsidRDefault="002E426C" w:rsidP="00E002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188</w:t>
    </w:r>
    <w:r>
      <w:rPr>
        <w:rStyle w:val="PageNumber"/>
      </w:rPr>
      <w:fldChar w:fldCharType="end"/>
    </w:r>
  </w:p>
  <w:p w14:paraId="0A888EB6" w14:textId="77777777" w:rsidR="002E426C" w:rsidRDefault="002E42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E36F0" w14:textId="74175CB0" w:rsidR="002E426C" w:rsidRPr="001B5329" w:rsidRDefault="002E426C" w:rsidP="00A126F8">
    <w:pPr>
      <w:pStyle w:val="Footer"/>
      <w:framePr w:wrap="around" w:vAnchor="text" w:hAnchor="margin" w:xAlign="center" w:y="1"/>
      <w:rPr>
        <w:rStyle w:val="PageNumber"/>
      </w:rPr>
    </w:pPr>
    <w:r w:rsidRPr="001B5329">
      <w:rPr>
        <w:rStyle w:val="PageNumber"/>
      </w:rPr>
      <w:fldChar w:fldCharType="begin"/>
    </w:r>
    <w:r w:rsidRPr="001B5329">
      <w:rPr>
        <w:rStyle w:val="PageNumber"/>
      </w:rPr>
      <w:instrText xml:space="preserve">PAGE  </w:instrText>
    </w:r>
    <w:r w:rsidRPr="001B5329">
      <w:rPr>
        <w:rStyle w:val="PageNumber"/>
      </w:rPr>
      <w:fldChar w:fldCharType="separate"/>
    </w:r>
    <w:r w:rsidR="000F6770">
      <w:rPr>
        <w:rStyle w:val="PageNumber"/>
        <w:noProof/>
      </w:rPr>
      <w:t>4</w:t>
    </w:r>
    <w:r w:rsidRPr="001B5329">
      <w:rPr>
        <w:rStyle w:val="PageNumber"/>
      </w:rPr>
      <w:fldChar w:fldCharType="end"/>
    </w:r>
  </w:p>
  <w:p w14:paraId="120E8582" w14:textId="77777777" w:rsidR="002E426C" w:rsidRDefault="002E426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2BB1E" w14:textId="77777777" w:rsidR="008C71CD" w:rsidRDefault="008C71CD">
      <w:r>
        <w:separator/>
      </w:r>
    </w:p>
  </w:footnote>
  <w:footnote w:type="continuationSeparator" w:id="0">
    <w:p w14:paraId="2294C8D4" w14:textId="77777777" w:rsidR="008C71CD" w:rsidRDefault="008C7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07AB8" w14:textId="77777777" w:rsidR="00B1784D" w:rsidRPr="00D7498B" w:rsidRDefault="00B1784D" w:rsidP="00B1784D">
    <w:pPr>
      <w:pStyle w:val="Heading4"/>
      <w:jc w:val="right"/>
      <w:rPr>
        <w:b w:val="0"/>
      </w:rPr>
    </w:pPr>
    <w:r>
      <w:rPr>
        <w:b w:val="0"/>
      </w:rPr>
      <w:t>3</w:t>
    </w:r>
    <w:r w:rsidRPr="00370740">
      <w:rPr>
        <w:b w:val="0"/>
        <w:vertAlign w:val="superscript"/>
      </w:rPr>
      <w:t>rd</w:t>
    </w:r>
    <w:r>
      <w:rPr>
        <w:b w:val="0"/>
      </w:rPr>
      <w:t xml:space="preserve"> </w:t>
    </w:r>
    <w:r w:rsidRPr="00D7498B">
      <w:rPr>
        <w:b w:val="0"/>
      </w:rPr>
      <w:t>International Conference on Textile Science and Engineering (ICTSE</w:t>
    </w:r>
    <w:r>
      <w:rPr>
        <w:b w:val="0"/>
      </w:rPr>
      <w:t>- 2025</w:t>
    </w:r>
    <w:r w:rsidRPr="00D7498B">
      <w:rPr>
        <w:b w:val="0"/>
      </w:rPr>
      <w:t xml:space="preserve">) with special focus on </w:t>
    </w:r>
  </w:p>
  <w:p w14:paraId="32F0AC07" w14:textId="77777777" w:rsidR="00B1784D" w:rsidRPr="0045190F" w:rsidRDefault="00B1784D" w:rsidP="00B1784D">
    <w:pPr>
      <w:pStyle w:val="Heading4"/>
      <w:jc w:val="right"/>
    </w:pPr>
    <w:r>
      <w:rPr>
        <w:b w:val="0"/>
      </w:rPr>
      <w:t>Fashion Innovation and Sustainable Apparel Production, 24 May 2025</w:t>
    </w:r>
    <w:r w:rsidRPr="00D7498B">
      <w:rPr>
        <w:b w:val="0"/>
      </w:rPr>
      <w:t>, BUTEX, Dhaka, Bangladesh</w:t>
    </w:r>
  </w:p>
  <w:p w14:paraId="522E2E27" w14:textId="265C71A4" w:rsidR="002E426C" w:rsidRPr="00B1784D" w:rsidRDefault="002E426C" w:rsidP="00B1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DB70" w14:textId="02A3434B" w:rsidR="00D7498B" w:rsidRPr="00D7498B" w:rsidRDefault="00370740" w:rsidP="00D7498B">
    <w:pPr>
      <w:pStyle w:val="Heading4"/>
      <w:jc w:val="right"/>
      <w:rPr>
        <w:b w:val="0"/>
      </w:rPr>
    </w:pPr>
    <w:r>
      <w:rPr>
        <w:b w:val="0"/>
      </w:rPr>
      <w:t>3</w:t>
    </w:r>
    <w:r w:rsidRPr="00370740">
      <w:rPr>
        <w:b w:val="0"/>
        <w:vertAlign w:val="superscript"/>
      </w:rPr>
      <w:t>rd</w:t>
    </w:r>
    <w:r>
      <w:rPr>
        <w:b w:val="0"/>
      </w:rPr>
      <w:t xml:space="preserve"> </w:t>
    </w:r>
    <w:r w:rsidR="00D7498B" w:rsidRPr="00D7498B">
      <w:rPr>
        <w:b w:val="0"/>
      </w:rPr>
      <w:t>International Conference on Textile Science and Engineering (ICTSE</w:t>
    </w:r>
    <w:r>
      <w:rPr>
        <w:b w:val="0"/>
      </w:rPr>
      <w:t>-</w:t>
    </w:r>
    <w:r w:rsidR="003C254F">
      <w:rPr>
        <w:b w:val="0"/>
      </w:rPr>
      <w:t xml:space="preserve"> 2025</w:t>
    </w:r>
    <w:r w:rsidR="00D7498B" w:rsidRPr="00D7498B">
      <w:rPr>
        <w:b w:val="0"/>
      </w:rPr>
      <w:t xml:space="preserve">) with special focus on </w:t>
    </w:r>
  </w:p>
  <w:p w14:paraId="19AC4576" w14:textId="71D12CD4" w:rsidR="002E426C" w:rsidRPr="0045190F" w:rsidRDefault="00370740" w:rsidP="00D7498B">
    <w:pPr>
      <w:pStyle w:val="Heading4"/>
      <w:jc w:val="right"/>
    </w:pPr>
    <w:r>
      <w:rPr>
        <w:b w:val="0"/>
      </w:rPr>
      <w:t>Fashion Innovation and Sustainable Apparel Production, 24 May 2025</w:t>
    </w:r>
    <w:r w:rsidR="00D7498B" w:rsidRPr="00D7498B">
      <w:rPr>
        <w:b w:val="0"/>
      </w:rPr>
      <w:t>, BUTEX, Dhaka, Bangladesh</w:t>
    </w:r>
  </w:p>
  <w:p w14:paraId="00F17751" w14:textId="77777777" w:rsidR="002E426C" w:rsidRPr="0045190F" w:rsidRDefault="002E42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44C"/>
    <w:multiLevelType w:val="multilevel"/>
    <w:tmpl w:val="900698FA"/>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8C50F17"/>
    <w:multiLevelType w:val="hybridMultilevel"/>
    <w:tmpl w:val="79FC2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B64BC"/>
    <w:multiLevelType w:val="singleLevel"/>
    <w:tmpl w:val="A50069DA"/>
    <w:lvl w:ilvl="0">
      <w:start w:val="1"/>
      <w:numFmt w:val="bullet"/>
      <w:pStyle w:val="bulina"/>
      <w:lvlText w:val=""/>
      <w:lvlJc w:val="left"/>
      <w:pPr>
        <w:tabs>
          <w:tab w:val="num" w:pos="360"/>
        </w:tabs>
        <w:ind w:left="340" w:hanging="340"/>
      </w:pPr>
      <w:rPr>
        <w:rFonts w:ascii="Symbol" w:hAnsi="Symbol" w:hint="default"/>
      </w:rPr>
    </w:lvl>
  </w:abstractNum>
  <w:abstractNum w:abstractNumId="3" w15:restartNumberingAfterBreak="0">
    <w:nsid w:val="159F1C66"/>
    <w:multiLevelType w:val="multilevel"/>
    <w:tmpl w:val="4E9AF93C"/>
    <w:lvl w:ilvl="0">
      <w:start w:val="1"/>
      <w:numFmt w:val="decimal"/>
      <w:pStyle w:val="StilHeadingMajor12pct"/>
      <w:lvlText w:val="%1."/>
      <w:lvlJc w:val="left"/>
      <w:pPr>
        <w:tabs>
          <w:tab w:val="num" w:pos="431"/>
        </w:tabs>
        <w:ind w:left="431" w:hanging="431"/>
      </w:pPr>
      <w:rPr>
        <w:rFonts w:ascii="Times New Roman" w:hAnsi="Times New Roman" w:cs="Times New Roman" w:hint="default"/>
        <w:b/>
        <w:i w:val="0"/>
        <w:caps/>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Sub1"/>
      <w:lvlText w:val="%1.%2"/>
      <w:lvlJc w:val="left"/>
      <w:pPr>
        <w:tabs>
          <w:tab w:val="num" w:pos="576"/>
        </w:tabs>
        <w:ind w:left="576" w:hanging="576"/>
      </w:pPr>
      <w:rPr>
        <w:rFonts w:ascii="Times New Roman" w:hAnsi="Times New Roman" w:cs="Times New Roman" w:hint="default"/>
        <w:b/>
        <w:i w:val="0"/>
        <w:caps w:val="0"/>
        <w:strike w:val="0"/>
        <w:dstrike w:val="0"/>
        <w:vanish w:val="0"/>
        <w:color w:val="000000"/>
        <w:sz w:val="22"/>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Sub2"/>
      <w:lvlText w:val="%1.%2.%3"/>
      <w:lvlJc w:val="left"/>
      <w:pPr>
        <w:tabs>
          <w:tab w:val="num" w:pos="720"/>
        </w:tabs>
        <w:ind w:left="720" w:hanging="720"/>
      </w:pPr>
      <w:rPr>
        <w:rFonts w:hint="default"/>
        <w:sz w:val="22"/>
        <w:szCs w:val="20"/>
      </w:rPr>
    </w:lvl>
    <w:lvl w:ilvl="3">
      <w:start w:val="1"/>
      <w:numFmt w:val="decimal"/>
      <w:pStyle w:val="3rdSub-heading"/>
      <w:lvlText w:val="%1.%2.%3.%4"/>
      <w:lvlJc w:val="left"/>
      <w:pPr>
        <w:tabs>
          <w:tab w:val="num" w:pos="864"/>
        </w:tabs>
        <w:ind w:left="864" w:hanging="864"/>
      </w:pPr>
      <w:rPr>
        <w:rFonts w:hint="default"/>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0982AD6"/>
    <w:multiLevelType w:val="hybridMultilevel"/>
    <w:tmpl w:val="25823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E55D14"/>
    <w:multiLevelType w:val="singleLevel"/>
    <w:tmpl w:val="38A69104"/>
    <w:lvl w:ilvl="0">
      <w:start w:val="1"/>
      <w:numFmt w:val="decimal"/>
      <w:pStyle w:val="Numerotare"/>
      <w:lvlText w:val="%1."/>
      <w:lvlJc w:val="left"/>
      <w:pPr>
        <w:tabs>
          <w:tab w:val="num" w:pos="473"/>
        </w:tabs>
        <w:ind w:left="360" w:hanging="247"/>
      </w:pPr>
    </w:lvl>
  </w:abstractNum>
  <w:abstractNum w:abstractNumId="6" w15:restartNumberingAfterBreak="0">
    <w:nsid w:val="24603E5D"/>
    <w:multiLevelType w:val="multilevel"/>
    <w:tmpl w:val="EACE853A"/>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47B3827"/>
    <w:multiLevelType w:val="hybridMultilevel"/>
    <w:tmpl w:val="E2743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A3551"/>
    <w:multiLevelType w:val="hybridMultilevel"/>
    <w:tmpl w:val="D3201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E27BC6"/>
    <w:multiLevelType w:val="multilevel"/>
    <w:tmpl w:val="6DF84F62"/>
    <w:lvl w:ilvl="0">
      <w:start w:val="5"/>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9020880"/>
    <w:multiLevelType w:val="multilevel"/>
    <w:tmpl w:val="6D1C4D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2BA6BAE"/>
    <w:multiLevelType w:val="hybridMultilevel"/>
    <w:tmpl w:val="A530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E05E32"/>
    <w:multiLevelType w:val="multilevel"/>
    <w:tmpl w:val="4F664B4E"/>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D607ABA"/>
    <w:multiLevelType w:val="multilevel"/>
    <w:tmpl w:val="FB72EC08"/>
    <w:lvl w:ilvl="0">
      <w:start w:val="5"/>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3255DE5"/>
    <w:multiLevelType w:val="singleLevel"/>
    <w:tmpl w:val="21AE9AF2"/>
    <w:lvl w:ilvl="0">
      <w:start w:val="1"/>
      <w:numFmt w:val="bullet"/>
      <w:pStyle w:val="Flash"/>
      <w:lvlText w:val=""/>
      <w:lvlJc w:val="left"/>
      <w:pPr>
        <w:tabs>
          <w:tab w:val="num" w:pos="502"/>
        </w:tabs>
        <w:ind w:left="454" w:hanging="312"/>
      </w:pPr>
      <w:rPr>
        <w:rFonts w:ascii="Wingdings" w:hAnsi="Wingdings" w:hint="default"/>
      </w:rPr>
    </w:lvl>
  </w:abstractNum>
  <w:abstractNum w:abstractNumId="15" w15:restartNumberingAfterBreak="0">
    <w:nsid w:val="6B0A1EBA"/>
    <w:multiLevelType w:val="singleLevel"/>
    <w:tmpl w:val="7E609DFC"/>
    <w:lvl w:ilvl="0">
      <w:start w:val="1"/>
      <w:numFmt w:val="decimal"/>
      <w:lvlText w:val="[%1]"/>
      <w:lvlJc w:val="left"/>
      <w:pPr>
        <w:tabs>
          <w:tab w:val="num" w:pos="397"/>
        </w:tabs>
        <w:ind w:left="397" w:hanging="397"/>
      </w:pPr>
    </w:lvl>
  </w:abstractNum>
  <w:abstractNum w:abstractNumId="16" w15:restartNumberingAfterBreak="0">
    <w:nsid w:val="7D39564D"/>
    <w:multiLevelType w:val="hybridMultilevel"/>
    <w:tmpl w:val="1F0C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lvlOverride w:ilvl="0">
      <w:startOverride w:val="1"/>
    </w:lvlOverride>
  </w:num>
  <w:num w:numId="3">
    <w:abstractNumId w:val="15"/>
  </w:num>
  <w:num w:numId="4">
    <w:abstractNumId w:val="3"/>
  </w:num>
  <w:num w:numId="5">
    <w:abstractNumId w:val="14"/>
  </w:num>
  <w:num w:numId="6">
    <w:abstractNumId w:val="12"/>
  </w:num>
  <w:num w:numId="7">
    <w:abstractNumId w:val="6"/>
  </w:num>
  <w:num w:numId="8">
    <w:abstractNumId w:val="0"/>
  </w:num>
  <w:num w:numId="9">
    <w:abstractNumId w:val="16"/>
  </w:num>
  <w:num w:numId="10">
    <w:abstractNumId w:val="1"/>
  </w:num>
  <w:num w:numId="11">
    <w:abstractNumId w:val="11"/>
  </w:num>
  <w:num w:numId="12">
    <w:abstractNumId w:val="7"/>
  </w:num>
  <w:num w:numId="13">
    <w:abstractNumId w:val="4"/>
  </w:num>
  <w:num w:numId="14">
    <w:abstractNumId w:val="8"/>
  </w:num>
  <w:num w:numId="15">
    <w:abstractNumId w:val="10"/>
  </w:num>
  <w:num w:numId="16">
    <w:abstractNumId w:val="9"/>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562"/>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5384"/>
    <w:rsid w:val="00001933"/>
    <w:rsid w:val="000061CC"/>
    <w:rsid w:val="0001199F"/>
    <w:rsid w:val="00016423"/>
    <w:rsid w:val="00042ED5"/>
    <w:rsid w:val="00043C1D"/>
    <w:rsid w:val="00063379"/>
    <w:rsid w:val="00066C6B"/>
    <w:rsid w:val="00074BD5"/>
    <w:rsid w:val="000A5797"/>
    <w:rsid w:val="000C217D"/>
    <w:rsid w:val="000D3792"/>
    <w:rsid w:val="000D4F0C"/>
    <w:rsid w:val="000E3DEC"/>
    <w:rsid w:val="000F6770"/>
    <w:rsid w:val="00101032"/>
    <w:rsid w:val="00104E3F"/>
    <w:rsid w:val="00104F5D"/>
    <w:rsid w:val="00107A6D"/>
    <w:rsid w:val="00111E54"/>
    <w:rsid w:val="00113F7C"/>
    <w:rsid w:val="0011625D"/>
    <w:rsid w:val="00117D25"/>
    <w:rsid w:val="00132451"/>
    <w:rsid w:val="00133F2B"/>
    <w:rsid w:val="001449E9"/>
    <w:rsid w:val="001509C2"/>
    <w:rsid w:val="00150CAF"/>
    <w:rsid w:val="001611C4"/>
    <w:rsid w:val="001712E0"/>
    <w:rsid w:val="0017262B"/>
    <w:rsid w:val="00180D8F"/>
    <w:rsid w:val="0018251A"/>
    <w:rsid w:val="00184845"/>
    <w:rsid w:val="001868CA"/>
    <w:rsid w:val="001A516A"/>
    <w:rsid w:val="001B0F9B"/>
    <w:rsid w:val="001B3AF7"/>
    <w:rsid w:val="001B4A74"/>
    <w:rsid w:val="001B5329"/>
    <w:rsid w:val="001C0AEE"/>
    <w:rsid w:val="001C4334"/>
    <w:rsid w:val="001D0C8B"/>
    <w:rsid w:val="001D426F"/>
    <w:rsid w:val="001E132C"/>
    <w:rsid w:val="001F47F6"/>
    <w:rsid w:val="001F58E8"/>
    <w:rsid w:val="001F5A60"/>
    <w:rsid w:val="00204BCE"/>
    <w:rsid w:val="00205EA8"/>
    <w:rsid w:val="00211FC1"/>
    <w:rsid w:val="00220D8F"/>
    <w:rsid w:val="00224ADC"/>
    <w:rsid w:val="00237F38"/>
    <w:rsid w:val="002424F1"/>
    <w:rsid w:val="00252933"/>
    <w:rsid w:val="002549FE"/>
    <w:rsid w:val="00254E71"/>
    <w:rsid w:val="00274B4C"/>
    <w:rsid w:val="0028186A"/>
    <w:rsid w:val="00285AAC"/>
    <w:rsid w:val="00291D65"/>
    <w:rsid w:val="002A245E"/>
    <w:rsid w:val="002B1326"/>
    <w:rsid w:val="002B4D26"/>
    <w:rsid w:val="002C7ADA"/>
    <w:rsid w:val="002D0482"/>
    <w:rsid w:val="002D426A"/>
    <w:rsid w:val="002D445B"/>
    <w:rsid w:val="002E1091"/>
    <w:rsid w:val="002E426C"/>
    <w:rsid w:val="00301670"/>
    <w:rsid w:val="003204B6"/>
    <w:rsid w:val="00325F0C"/>
    <w:rsid w:val="003306A3"/>
    <w:rsid w:val="00332117"/>
    <w:rsid w:val="00332E4F"/>
    <w:rsid w:val="0036137B"/>
    <w:rsid w:val="00363DEE"/>
    <w:rsid w:val="00366CA2"/>
    <w:rsid w:val="00370740"/>
    <w:rsid w:val="0038624C"/>
    <w:rsid w:val="00395B14"/>
    <w:rsid w:val="003A3ED2"/>
    <w:rsid w:val="003A6566"/>
    <w:rsid w:val="003C254F"/>
    <w:rsid w:val="003D757B"/>
    <w:rsid w:val="003E6DBD"/>
    <w:rsid w:val="004117DF"/>
    <w:rsid w:val="00412A9A"/>
    <w:rsid w:val="00414A1C"/>
    <w:rsid w:val="00421F30"/>
    <w:rsid w:val="00432E5C"/>
    <w:rsid w:val="004437F3"/>
    <w:rsid w:val="00443C70"/>
    <w:rsid w:val="004473AD"/>
    <w:rsid w:val="0045190F"/>
    <w:rsid w:val="004603DB"/>
    <w:rsid w:val="004644C0"/>
    <w:rsid w:val="00467D76"/>
    <w:rsid w:val="00472422"/>
    <w:rsid w:val="004763E5"/>
    <w:rsid w:val="004A6E11"/>
    <w:rsid w:val="004A7997"/>
    <w:rsid w:val="004C13D1"/>
    <w:rsid w:val="004C33DB"/>
    <w:rsid w:val="004C58B8"/>
    <w:rsid w:val="004D1C25"/>
    <w:rsid w:val="004D5FBC"/>
    <w:rsid w:val="00506101"/>
    <w:rsid w:val="005063DA"/>
    <w:rsid w:val="00506661"/>
    <w:rsid w:val="00512E5C"/>
    <w:rsid w:val="00537052"/>
    <w:rsid w:val="00537C18"/>
    <w:rsid w:val="00552F13"/>
    <w:rsid w:val="0055423B"/>
    <w:rsid w:val="00561F77"/>
    <w:rsid w:val="00564C40"/>
    <w:rsid w:val="00566BF4"/>
    <w:rsid w:val="00571203"/>
    <w:rsid w:val="00580C5A"/>
    <w:rsid w:val="00583AEA"/>
    <w:rsid w:val="005932D3"/>
    <w:rsid w:val="005A0A12"/>
    <w:rsid w:val="005B050B"/>
    <w:rsid w:val="005B753D"/>
    <w:rsid w:val="005D04E7"/>
    <w:rsid w:val="005D7F14"/>
    <w:rsid w:val="005E045F"/>
    <w:rsid w:val="005E194A"/>
    <w:rsid w:val="005E70BF"/>
    <w:rsid w:val="005E799A"/>
    <w:rsid w:val="006063EC"/>
    <w:rsid w:val="006229A4"/>
    <w:rsid w:val="006273FC"/>
    <w:rsid w:val="00632DD0"/>
    <w:rsid w:val="00633152"/>
    <w:rsid w:val="00654613"/>
    <w:rsid w:val="006579F7"/>
    <w:rsid w:val="006653AA"/>
    <w:rsid w:val="00670344"/>
    <w:rsid w:val="00680D47"/>
    <w:rsid w:val="00680FF0"/>
    <w:rsid w:val="006856F8"/>
    <w:rsid w:val="006858EE"/>
    <w:rsid w:val="00695295"/>
    <w:rsid w:val="006A2EC8"/>
    <w:rsid w:val="006B141E"/>
    <w:rsid w:val="006B35AA"/>
    <w:rsid w:val="006C0276"/>
    <w:rsid w:val="006D310E"/>
    <w:rsid w:val="0070228B"/>
    <w:rsid w:val="0071174E"/>
    <w:rsid w:val="00722C1E"/>
    <w:rsid w:val="007249EA"/>
    <w:rsid w:val="00727DD5"/>
    <w:rsid w:val="0075208D"/>
    <w:rsid w:val="00760248"/>
    <w:rsid w:val="007635B0"/>
    <w:rsid w:val="00763E7B"/>
    <w:rsid w:val="007640B0"/>
    <w:rsid w:val="00766FF2"/>
    <w:rsid w:val="00770B2B"/>
    <w:rsid w:val="007725A3"/>
    <w:rsid w:val="007767FA"/>
    <w:rsid w:val="00781A40"/>
    <w:rsid w:val="00791AD6"/>
    <w:rsid w:val="0079518A"/>
    <w:rsid w:val="00796405"/>
    <w:rsid w:val="007A4B8D"/>
    <w:rsid w:val="007A5016"/>
    <w:rsid w:val="007A5379"/>
    <w:rsid w:val="007B29C8"/>
    <w:rsid w:val="007C7CAD"/>
    <w:rsid w:val="007D2F45"/>
    <w:rsid w:val="007D5DD1"/>
    <w:rsid w:val="007E3F98"/>
    <w:rsid w:val="007F1959"/>
    <w:rsid w:val="0080009D"/>
    <w:rsid w:val="00813E4B"/>
    <w:rsid w:val="00826427"/>
    <w:rsid w:val="00831D46"/>
    <w:rsid w:val="0083786D"/>
    <w:rsid w:val="00844429"/>
    <w:rsid w:val="00844898"/>
    <w:rsid w:val="00845552"/>
    <w:rsid w:val="0085281B"/>
    <w:rsid w:val="00861076"/>
    <w:rsid w:val="008616A7"/>
    <w:rsid w:val="00862038"/>
    <w:rsid w:val="00862EC4"/>
    <w:rsid w:val="0088278F"/>
    <w:rsid w:val="008875F2"/>
    <w:rsid w:val="00892108"/>
    <w:rsid w:val="00895F99"/>
    <w:rsid w:val="008B0FE6"/>
    <w:rsid w:val="008B2F9D"/>
    <w:rsid w:val="008C71CD"/>
    <w:rsid w:val="008E3093"/>
    <w:rsid w:val="008E7F5D"/>
    <w:rsid w:val="008F2B27"/>
    <w:rsid w:val="008F3499"/>
    <w:rsid w:val="00903A5A"/>
    <w:rsid w:val="00910972"/>
    <w:rsid w:val="0091181A"/>
    <w:rsid w:val="00925C28"/>
    <w:rsid w:val="0093090F"/>
    <w:rsid w:val="009315CC"/>
    <w:rsid w:val="00937CE2"/>
    <w:rsid w:val="00945FD8"/>
    <w:rsid w:val="009462E2"/>
    <w:rsid w:val="0094762A"/>
    <w:rsid w:val="009528F1"/>
    <w:rsid w:val="00953CB7"/>
    <w:rsid w:val="0096244D"/>
    <w:rsid w:val="00964FB8"/>
    <w:rsid w:val="009671C9"/>
    <w:rsid w:val="00974A18"/>
    <w:rsid w:val="00983148"/>
    <w:rsid w:val="00984CDA"/>
    <w:rsid w:val="00987310"/>
    <w:rsid w:val="009A01AA"/>
    <w:rsid w:val="009A6726"/>
    <w:rsid w:val="009C276F"/>
    <w:rsid w:val="009C3128"/>
    <w:rsid w:val="009D79DE"/>
    <w:rsid w:val="009E074E"/>
    <w:rsid w:val="009E1BD4"/>
    <w:rsid w:val="00A00E51"/>
    <w:rsid w:val="00A06DA6"/>
    <w:rsid w:val="00A126F8"/>
    <w:rsid w:val="00A27166"/>
    <w:rsid w:val="00A3384F"/>
    <w:rsid w:val="00A36E2F"/>
    <w:rsid w:val="00A4445F"/>
    <w:rsid w:val="00A50BA9"/>
    <w:rsid w:val="00A56B4A"/>
    <w:rsid w:val="00A639E0"/>
    <w:rsid w:val="00A9497F"/>
    <w:rsid w:val="00AB13A3"/>
    <w:rsid w:val="00AB2374"/>
    <w:rsid w:val="00AB3745"/>
    <w:rsid w:val="00AB655B"/>
    <w:rsid w:val="00AC44C7"/>
    <w:rsid w:val="00AD08A3"/>
    <w:rsid w:val="00AD1A43"/>
    <w:rsid w:val="00AD74EE"/>
    <w:rsid w:val="00AD7BCA"/>
    <w:rsid w:val="00AF0473"/>
    <w:rsid w:val="00AF06F5"/>
    <w:rsid w:val="00B07ED4"/>
    <w:rsid w:val="00B07F0B"/>
    <w:rsid w:val="00B07F7D"/>
    <w:rsid w:val="00B10AF0"/>
    <w:rsid w:val="00B1784D"/>
    <w:rsid w:val="00B2013D"/>
    <w:rsid w:val="00B30302"/>
    <w:rsid w:val="00B31BE9"/>
    <w:rsid w:val="00B434AC"/>
    <w:rsid w:val="00B517BE"/>
    <w:rsid w:val="00B55AF7"/>
    <w:rsid w:val="00B64679"/>
    <w:rsid w:val="00B940EC"/>
    <w:rsid w:val="00BA67E4"/>
    <w:rsid w:val="00BB6597"/>
    <w:rsid w:val="00BC0D23"/>
    <w:rsid w:val="00BC5C7E"/>
    <w:rsid w:val="00BD67A0"/>
    <w:rsid w:val="00BD6957"/>
    <w:rsid w:val="00BF099E"/>
    <w:rsid w:val="00BF6259"/>
    <w:rsid w:val="00C05F6B"/>
    <w:rsid w:val="00C115E8"/>
    <w:rsid w:val="00C23151"/>
    <w:rsid w:val="00C23EC5"/>
    <w:rsid w:val="00C246C4"/>
    <w:rsid w:val="00C26891"/>
    <w:rsid w:val="00C32DA0"/>
    <w:rsid w:val="00C3307C"/>
    <w:rsid w:val="00C40628"/>
    <w:rsid w:val="00C501C8"/>
    <w:rsid w:val="00C642D8"/>
    <w:rsid w:val="00C711C2"/>
    <w:rsid w:val="00C97AEE"/>
    <w:rsid w:val="00CA187D"/>
    <w:rsid w:val="00CA2D90"/>
    <w:rsid w:val="00CA453B"/>
    <w:rsid w:val="00CB4F4F"/>
    <w:rsid w:val="00CB68A4"/>
    <w:rsid w:val="00CC3AF9"/>
    <w:rsid w:val="00CD2D38"/>
    <w:rsid w:val="00CD4C37"/>
    <w:rsid w:val="00CE3840"/>
    <w:rsid w:val="00CE4C79"/>
    <w:rsid w:val="00CF51D5"/>
    <w:rsid w:val="00D04238"/>
    <w:rsid w:val="00D13711"/>
    <w:rsid w:val="00D2309A"/>
    <w:rsid w:val="00D27A2F"/>
    <w:rsid w:val="00D31DFA"/>
    <w:rsid w:val="00D46A03"/>
    <w:rsid w:val="00D55D01"/>
    <w:rsid w:val="00D65688"/>
    <w:rsid w:val="00D65984"/>
    <w:rsid w:val="00D65AB1"/>
    <w:rsid w:val="00D65F2E"/>
    <w:rsid w:val="00D7498B"/>
    <w:rsid w:val="00D76213"/>
    <w:rsid w:val="00D7653A"/>
    <w:rsid w:val="00D84DD5"/>
    <w:rsid w:val="00DA6ACD"/>
    <w:rsid w:val="00DB1BB6"/>
    <w:rsid w:val="00DC19D5"/>
    <w:rsid w:val="00DC7563"/>
    <w:rsid w:val="00DD25EC"/>
    <w:rsid w:val="00DD3249"/>
    <w:rsid w:val="00DE1B44"/>
    <w:rsid w:val="00DE4D28"/>
    <w:rsid w:val="00DF1684"/>
    <w:rsid w:val="00DF639D"/>
    <w:rsid w:val="00E0022B"/>
    <w:rsid w:val="00E02AD8"/>
    <w:rsid w:val="00E32B9D"/>
    <w:rsid w:val="00E44D98"/>
    <w:rsid w:val="00E45384"/>
    <w:rsid w:val="00E45DAA"/>
    <w:rsid w:val="00E51C99"/>
    <w:rsid w:val="00E5417C"/>
    <w:rsid w:val="00E5426F"/>
    <w:rsid w:val="00E704A2"/>
    <w:rsid w:val="00E705BF"/>
    <w:rsid w:val="00E773F3"/>
    <w:rsid w:val="00E86922"/>
    <w:rsid w:val="00EA016A"/>
    <w:rsid w:val="00EA3DFE"/>
    <w:rsid w:val="00EB4B96"/>
    <w:rsid w:val="00EC0FC6"/>
    <w:rsid w:val="00ED4702"/>
    <w:rsid w:val="00EE273A"/>
    <w:rsid w:val="00EE33E9"/>
    <w:rsid w:val="00EE34BA"/>
    <w:rsid w:val="00EE4A81"/>
    <w:rsid w:val="00EF12A4"/>
    <w:rsid w:val="00F03ADF"/>
    <w:rsid w:val="00F05167"/>
    <w:rsid w:val="00F1420A"/>
    <w:rsid w:val="00F14EE1"/>
    <w:rsid w:val="00F17C9D"/>
    <w:rsid w:val="00F21061"/>
    <w:rsid w:val="00F21178"/>
    <w:rsid w:val="00F242B6"/>
    <w:rsid w:val="00F249C2"/>
    <w:rsid w:val="00F27DC9"/>
    <w:rsid w:val="00F36E76"/>
    <w:rsid w:val="00F37DAE"/>
    <w:rsid w:val="00F43040"/>
    <w:rsid w:val="00F47A8C"/>
    <w:rsid w:val="00F51743"/>
    <w:rsid w:val="00F64800"/>
    <w:rsid w:val="00F675B3"/>
    <w:rsid w:val="00F74177"/>
    <w:rsid w:val="00F80BAB"/>
    <w:rsid w:val="00FA254A"/>
    <w:rsid w:val="00FB0076"/>
    <w:rsid w:val="00FB00C2"/>
    <w:rsid w:val="00FC0E07"/>
    <w:rsid w:val="00FC5097"/>
    <w:rsid w:val="00FF2EA3"/>
    <w:rsid w:val="00FF61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2E04476"/>
  <w15:docId w15:val="{B7A35248-9BDB-4D31-B7A4-6ADE8794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655B"/>
    <w:rPr>
      <w:lang w:val="ro-RO"/>
    </w:rPr>
  </w:style>
  <w:style w:type="paragraph" w:styleId="Heading1">
    <w:name w:val="heading 1"/>
    <w:basedOn w:val="Normal"/>
    <w:next w:val="Normal"/>
    <w:pPr>
      <w:keepNext/>
      <w:jc w:val="both"/>
      <w:outlineLvl w:val="0"/>
    </w:pPr>
    <w:rPr>
      <w:b/>
      <w:lang w:val="en-GB"/>
    </w:rPr>
  </w:style>
  <w:style w:type="paragraph" w:styleId="Heading2">
    <w:name w:val="heading 2"/>
    <w:basedOn w:val="Normal"/>
    <w:next w:val="Normal"/>
    <w:pPr>
      <w:keepNext/>
      <w:keepLines/>
      <w:jc w:val="center"/>
      <w:outlineLvl w:val="1"/>
    </w:pPr>
    <w:rPr>
      <w:b/>
      <w:sz w:val="28"/>
      <w:lang w:val="en-US"/>
    </w:rPr>
  </w:style>
  <w:style w:type="paragraph" w:styleId="Heading3">
    <w:name w:val="heading 3"/>
    <w:basedOn w:val="Normal"/>
    <w:next w:val="Normal"/>
    <w:pPr>
      <w:keepNext/>
      <w:spacing w:before="360" w:after="120"/>
      <w:ind w:firstLine="720"/>
      <w:outlineLvl w:val="2"/>
    </w:pPr>
    <w:rPr>
      <w:b/>
      <w:lang w:val="en-US"/>
    </w:rPr>
  </w:style>
  <w:style w:type="paragraph" w:styleId="Heading4">
    <w:name w:val="heading 4"/>
    <w:basedOn w:val="Normal"/>
    <w:next w:val="Normal"/>
    <w:link w:val="Heading4Char"/>
    <w:pPr>
      <w:keepNext/>
      <w:jc w:val="both"/>
      <w:outlineLvl w:val="3"/>
    </w:pPr>
    <w:rPr>
      <w:b/>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rmalcont">
    <w:name w:val="normal_cont"/>
    <w:next w:val="Normal"/>
    <w:pPr>
      <w:widowControl w:val="0"/>
      <w:tabs>
        <w:tab w:val="left" w:pos="851"/>
      </w:tabs>
      <w:spacing w:before="60" w:line="288" w:lineRule="auto"/>
      <w:jc w:val="both"/>
    </w:pPr>
    <w:rPr>
      <w:sz w:val="24"/>
    </w:rPr>
  </w:style>
  <w:style w:type="paragraph" w:styleId="BodyText">
    <w:name w:val="Body Text"/>
    <w:basedOn w:val="Normal"/>
    <w:pPr>
      <w:jc w:val="center"/>
    </w:pPr>
    <w:rPr>
      <w:b/>
      <w:sz w:val="28"/>
    </w:rPr>
  </w:style>
  <w:style w:type="paragraph" w:styleId="BodyTextIndent">
    <w:name w:val="Body Text Indent"/>
    <w:aliases w:val="TextBloc"/>
    <w:basedOn w:val="Normal"/>
    <w:link w:val="BodyTextIndentChar"/>
    <w:pPr>
      <w:ind w:firstLine="567"/>
      <w:jc w:val="both"/>
    </w:pPr>
    <w:rPr>
      <w:lang w:eastAsia="x-none"/>
    </w:rPr>
  </w:style>
  <w:style w:type="paragraph" w:customStyle="1" w:styleId="bulina">
    <w:name w:val="bulina"/>
    <w:basedOn w:val="Normal"/>
    <w:pPr>
      <w:numPr>
        <w:numId w:val="1"/>
      </w:numPr>
      <w:tabs>
        <w:tab w:val="clear" w:pos="360"/>
        <w:tab w:val="num" w:pos="993"/>
      </w:tabs>
      <w:spacing w:before="60"/>
      <w:ind w:left="992" w:hanging="425"/>
      <w:jc w:val="both"/>
    </w:pPr>
    <w:rPr>
      <w:lang w:val="en-US"/>
    </w:rPr>
  </w:style>
  <w:style w:type="paragraph" w:customStyle="1" w:styleId="ecuatie">
    <w:name w:val="ecuatie"/>
    <w:pPr>
      <w:tabs>
        <w:tab w:val="center" w:pos="3686"/>
        <w:tab w:val="right" w:pos="8647"/>
      </w:tabs>
      <w:spacing w:before="60" w:after="60" w:line="288" w:lineRule="auto"/>
    </w:pPr>
    <w:rPr>
      <w:sz w:val="24"/>
    </w:rPr>
  </w:style>
  <w:style w:type="paragraph" w:styleId="BodyTextIndent2">
    <w:name w:val="Body Text Indent 2"/>
    <w:basedOn w:val="Normal"/>
    <w:pPr>
      <w:spacing w:before="120"/>
      <w:ind w:firstLine="720"/>
      <w:jc w:val="both"/>
    </w:pPr>
    <w:rPr>
      <w:lang w:val="en-US"/>
    </w:rPr>
  </w:style>
  <w:style w:type="paragraph" w:customStyle="1" w:styleId="CapFig">
    <w:name w:val="Cap_Fig"/>
    <w:basedOn w:val="normalcont"/>
    <w:pPr>
      <w:keepLines/>
      <w:widowControl/>
      <w:tabs>
        <w:tab w:val="clear" w:pos="851"/>
      </w:tabs>
      <w:spacing w:before="120" w:after="120" w:line="240" w:lineRule="auto"/>
      <w:jc w:val="center"/>
    </w:pPr>
    <w:rPr>
      <w:b/>
    </w:rPr>
  </w:style>
  <w:style w:type="paragraph" w:customStyle="1" w:styleId="Figura">
    <w:name w:val="Figura"/>
    <w:pPr>
      <w:keepNext/>
      <w:keepLines/>
      <w:tabs>
        <w:tab w:val="right" w:pos="7938"/>
      </w:tabs>
      <w:suppressAutoHyphens/>
      <w:spacing w:before="120"/>
      <w:jc w:val="center"/>
    </w:pPr>
    <w:rPr>
      <w:b/>
      <w:noProof/>
      <w:sz w:val="24"/>
    </w:rPr>
  </w:style>
  <w:style w:type="paragraph" w:customStyle="1" w:styleId="Numerotare">
    <w:name w:val="Numerotare"/>
    <w:basedOn w:val="Normal"/>
    <w:pPr>
      <w:numPr>
        <w:numId w:val="2"/>
      </w:numPr>
      <w:tabs>
        <w:tab w:val="clear" w:pos="473"/>
        <w:tab w:val="num" w:pos="567"/>
      </w:tabs>
      <w:spacing w:before="120"/>
      <w:ind w:left="568" w:hanging="284"/>
      <w:jc w:val="both"/>
    </w:pPr>
    <w:rPr>
      <w:lang w:val="en-US"/>
    </w:rPr>
  </w:style>
  <w:style w:type="paragraph" w:customStyle="1" w:styleId="biblio">
    <w:name w:val="biblio"/>
    <w:basedOn w:val="Normal"/>
    <w:pPr>
      <w:keepLines/>
      <w:ind w:left="288" w:hanging="288"/>
      <w:jc w:val="both"/>
    </w:pPr>
    <w:rPr>
      <w:snapToGrid w:val="0"/>
      <w:color w:val="000000"/>
      <w:lang w:val="en-US"/>
    </w:rPr>
  </w:style>
  <w:style w:type="paragraph" w:styleId="Header">
    <w:name w:val="header"/>
    <w:basedOn w:val="Normal"/>
    <w:pPr>
      <w:tabs>
        <w:tab w:val="center" w:pos="4153"/>
        <w:tab w:val="right" w:pos="8306"/>
      </w:tabs>
      <w:spacing w:before="120" w:line="288" w:lineRule="auto"/>
      <w:ind w:firstLine="720"/>
      <w:jc w:val="both"/>
    </w:pPr>
    <w:rPr>
      <w:lang w:val="en-GB"/>
    </w:rPr>
  </w:style>
  <w:style w:type="character" w:styleId="PageNumber">
    <w:name w:val="page number"/>
    <w:basedOn w:val="DefaultParagraphFont"/>
  </w:style>
  <w:style w:type="paragraph" w:customStyle="1" w:styleId="Textbloc">
    <w:name w:val="Textbloc"/>
    <w:basedOn w:val="Normal"/>
    <w:link w:val="TextblocChar"/>
    <w:rsid w:val="0079518A"/>
    <w:pPr>
      <w:jc w:val="both"/>
    </w:pPr>
    <w:rPr>
      <w:rFonts w:ascii="Arial" w:hAnsi="Arial"/>
      <w:sz w:val="22"/>
      <w:szCs w:val="24"/>
      <w:lang w:val="en-GB" w:eastAsia="x-none"/>
    </w:rPr>
  </w:style>
  <w:style w:type="character" w:styleId="Hyperlink">
    <w:name w:val="Hyperlink"/>
    <w:rPr>
      <w:color w:val="0000FF"/>
      <w:u w:val="single"/>
    </w:rPr>
  </w:style>
  <w:style w:type="paragraph" w:customStyle="1" w:styleId="Keywords">
    <w:name w:val="Keywords"/>
    <w:basedOn w:val="Normal"/>
    <w:rsid w:val="0079518A"/>
    <w:rPr>
      <w:rFonts w:ascii="Arial" w:hAnsi="Arial"/>
      <w:lang w:val="en-GB"/>
    </w:rPr>
  </w:style>
  <w:style w:type="paragraph" w:customStyle="1" w:styleId="HeadingMajor">
    <w:name w:val="HeadingMajor"/>
    <w:basedOn w:val="Normal"/>
    <w:next w:val="Normal"/>
    <w:link w:val="HeadingMajorChar"/>
    <w:pPr>
      <w:tabs>
        <w:tab w:val="left" w:pos="284"/>
      </w:tabs>
      <w:spacing w:after="100"/>
    </w:pPr>
    <w:rPr>
      <w:b/>
      <w:caps/>
      <w:lang w:val="en-GB" w:eastAsia="x-none"/>
    </w:rPr>
  </w:style>
  <w:style w:type="paragraph" w:customStyle="1" w:styleId="HeadingSub1">
    <w:name w:val="HeadingSub1"/>
    <w:basedOn w:val="HeadingMajor"/>
    <w:next w:val="Normal"/>
    <w:link w:val="HeadingSub1Char"/>
    <w:pPr>
      <w:numPr>
        <w:ilvl w:val="1"/>
        <w:numId w:val="4"/>
      </w:numPr>
      <w:tabs>
        <w:tab w:val="clear" w:pos="284"/>
      </w:tabs>
      <w:spacing w:before="100"/>
    </w:pPr>
    <w:rPr>
      <w:caps w:val="0"/>
    </w:rPr>
  </w:style>
  <w:style w:type="paragraph" w:customStyle="1" w:styleId="HeadingSub2">
    <w:name w:val="HeadingSub2"/>
    <w:basedOn w:val="HeadingSub1"/>
    <w:next w:val="Textbloc"/>
    <w:link w:val="HeadingSub2Char"/>
    <w:pPr>
      <w:numPr>
        <w:ilvl w:val="2"/>
      </w:numPr>
    </w:pPr>
    <w:rPr>
      <w:i/>
    </w:rPr>
  </w:style>
  <w:style w:type="paragraph" w:customStyle="1" w:styleId="Flash">
    <w:name w:val="Flash"/>
    <w:basedOn w:val="Normal"/>
    <w:next w:val="Normal"/>
    <w:pPr>
      <w:keepNext/>
      <w:numPr>
        <w:numId w:val="5"/>
      </w:numPr>
      <w:tabs>
        <w:tab w:val="clear" w:pos="502"/>
        <w:tab w:val="num" w:pos="426"/>
      </w:tabs>
    </w:pPr>
    <w:rPr>
      <w:lang w:val="en-GB"/>
    </w:rPr>
  </w:style>
  <w:style w:type="paragraph" w:customStyle="1" w:styleId="StilHeadingSub112pct">
    <w:name w:val="Stil HeadingSub1 + 12 pct."/>
    <w:basedOn w:val="HeadingSub1"/>
    <w:link w:val="StilHeadingSub112pctChar"/>
    <w:rsid w:val="005E045F"/>
    <w:pPr>
      <w:spacing w:before="200"/>
      <w:ind w:left="0" w:firstLine="0"/>
    </w:pPr>
    <w:rPr>
      <w:bCs/>
    </w:rPr>
  </w:style>
  <w:style w:type="paragraph" w:customStyle="1" w:styleId="11HeadingSub1">
    <w:name w:val="1.1 HeadingSub1"/>
    <w:basedOn w:val="HeadingSub1"/>
  </w:style>
  <w:style w:type="paragraph" w:customStyle="1" w:styleId="HeadingSub10">
    <w:name w:val="Heading Sub1"/>
    <w:basedOn w:val="HeadingSub1"/>
  </w:style>
  <w:style w:type="paragraph" w:customStyle="1" w:styleId="HeadingSub20">
    <w:name w:val="Heading Sub2"/>
    <w:basedOn w:val="HeadingSub2"/>
    <w:rPr>
      <w:sz w:val="24"/>
      <w:szCs w:val="24"/>
    </w:rPr>
  </w:style>
  <w:style w:type="paragraph" w:customStyle="1" w:styleId="Blank10pt">
    <w:name w:val="Blank10pt"/>
    <w:basedOn w:val="Normal"/>
    <w:pPr>
      <w:spacing w:line="200" w:lineRule="exact"/>
    </w:pPr>
    <w:rPr>
      <w:lang w:val="en-GB"/>
    </w:rPr>
  </w:style>
  <w:style w:type="paragraph" w:customStyle="1" w:styleId="FigureSubtitle">
    <w:name w:val="FigureSubtitle"/>
    <w:basedOn w:val="Normal"/>
    <w:next w:val="Textbloc"/>
    <w:pPr>
      <w:keepNext/>
      <w:spacing w:before="100" w:after="100"/>
      <w:jc w:val="center"/>
    </w:pPr>
    <w:rPr>
      <w:i/>
      <w:lang w:val="en-GB"/>
    </w:rPr>
  </w:style>
  <w:style w:type="paragraph" w:customStyle="1" w:styleId="FigureFrame80">
    <w:name w:val="FigureFrame80"/>
    <w:basedOn w:val="Normal"/>
    <w:pPr>
      <w:jc w:val="center"/>
    </w:pPr>
    <w:rPr>
      <w:lang w:val="en-GB"/>
    </w:rPr>
  </w:style>
  <w:style w:type="paragraph" w:customStyle="1" w:styleId="FigureSubrtitle">
    <w:name w:val="Figure Subrtitle"/>
    <w:basedOn w:val="FigureSubtitle"/>
    <w:pPr>
      <w:keepNext w:val="0"/>
      <w:numPr>
        <w:ilvl w:val="12"/>
      </w:numPr>
    </w:pPr>
    <w:rPr>
      <w:i w:val="0"/>
      <w:szCs w:val="24"/>
    </w:rPr>
  </w:style>
  <w:style w:type="paragraph" w:customStyle="1" w:styleId="Equation">
    <w:name w:val="Equation"/>
    <w:basedOn w:val="Normal"/>
    <w:next w:val="Textbloc"/>
    <w:pPr>
      <w:tabs>
        <w:tab w:val="right" w:pos="4536"/>
      </w:tabs>
    </w:pPr>
    <w:rPr>
      <w:lang w:val="en-GB"/>
    </w:rPr>
  </w:style>
  <w:style w:type="paragraph" w:customStyle="1" w:styleId="Equations">
    <w:name w:val="Equations"/>
    <w:basedOn w:val="ecuatie"/>
    <w:pPr>
      <w:spacing w:before="0" w:after="0" w:line="240" w:lineRule="auto"/>
    </w:pPr>
  </w:style>
  <w:style w:type="paragraph" w:customStyle="1" w:styleId="Blank5pt">
    <w:name w:val="Blank5pt"/>
    <w:basedOn w:val="Blank10pt"/>
    <w:pPr>
      <w:spacing w:line="100" w:lineRule="exact"/>
    </w:pPr>
  </w:style>
  <w:style w:type="paragraph" w:customStyle="1" w:styleId="TableFrame">
    <w:name w:val="TableFrame"/>
    <w:basedOn w:val="Normal"/>
    <w:next w:val="Normal"/>
    <w:pPr>
      <w:keepNext/>
      <w:numPr>
        <w:ilvl w:val="12"/>
      </w:numPr>
    </w:pPr>
    <w:rPr>
      <w:lang w:val="en-GB"/>
    </w:rPr>
  </w:style>
  <w:style w:type="paragraph" w:customStyle="1" w:styleId="TabelSubtitle">
    <w:name w:val="TabelSubtitle"/>
    <w:basedOn w:val="Normal"/>
    <w:next w:val="Textbloc"/>
    <w:pPr>
      <w:keepNext/>
      <w:spacing w:before="100" w:after="100"/>
      <w:jc w:val="center"/>
    </w:pPr>
    <w:rPr>
      <w:i/>
      <w:lang w:val="en-GB"/>
    </w:rPr>
  </w:style>
  <w:style w:type="paragraph" w:customStyle="1" w:styleId="TabelSubtitle0">
    <w:name w:val="Tabel Subtitle"/>
    <w:basedOn w:val="TabelSubtitle"/>
    <w:pPr>
      <w:numPr>
        <w:ilvl w:val="12"/>
      </w:numPr>
      <w:spacing w:before="0" w:after="0"/>
    </w:pPr>
    <w:rPr>
      <w:i w:val="0"/>
      <w:szCs w:val="24"/>
    </w:rPr>
  </w:style>
  <w:style w:type="paragraph" w:customStyle="1" w:styleId="StilHeadingMajor12pct">
    <w:name w:val="Stil HeadingMajor + 12 pct."/>
    <w:basedOn w:val="HeadingMajor"/>
    <w:next w:val="Textbloc"/>
    <w:link w:val="StilHeadingMajor12pctChar"/>
    <w:rsid w:val="006B141E"/>
    <w:pPr>
      <w:numPr>
        <w:numId w:val="4"/>
      </w:numPr>
      <w:spacing w:before="400"/>
      <w:ind w:left="0" w:firstLine="0"/>
    </w:pPr>
    <w:rPr>
      <w:bCs/>
      <w:szCs w:val="24"/>
    </w:rPr>
  </w:style>
  <w:style w:type="paragraph" w:customStyle="1" w:styleId="References">
    <w:name w:val="References"/>
    <w:basedOn w:val="biblio"/>
    <w:rPr>
      <w:sz w:val="24"/>
    </w:rPr>
  </w:style>
  <w:style w:type="paragraph" w:customStyle="1" w:styleId="TITLU">
    <w:name w:val="TITLU"/>
    <w:basedOn w:val="BodyText"/>
    <w:rPr>
      <w:szCs w:val="28"/>
    </w:rPr>
  </w:style>
  <w:style w:type="paragraph" w:customStyle="1" w:styleId="Title1">
    <w:name w:val="Title1"/>
    <w:basedOn w:val="Heading2"/>
    <w:rPr>
      <w:sz w:val="24"/>
    </w:rPr>
  </w:style>
  <w:style w:type="paragraph" w:styleId="Title">
    <w:name w:val="Title"/>
    <w:basedOn w:val="Normal"/>
    <w:next w:val="Blank10pt"/>
    <w:pPr>
      <w:spacing w:line="400" w:lineRule="exact"/>
    </w:pPr>
    <w:rPr>
      <w:b/>
      <w:caps/>
      <w:kern w:val="28"/>
      <w:sz w:val="36"/>
      <w:lang w:val="en-GB"/>
    </w:rPr>
  </w:style>
  <w:style w:type="paragraph" w:styleId="FootnoteText">
    <w:name w:val="footnote text"/>
    <w:basedOn w:val="Normal"/>
    <w:semiHidden/>
    <w:rPr>
      <w:lang w:val="en-GB"/>
    </w:rPr>
  </w:style>
  <w:style w:type="character" w:styleId="FootnoteReference">
    <w:name w:val="footnote reference"/>
    <w:semiHidden/>
    <w:rPr>
      <w:vertAlign w:val="superscript"/>
    </w:rPr>
  </w:style>
  <w:style w:type="paragraph" w:customStyle="1" w:styleId="Author">
    <w:name w:val="Author"/>
    <w:basedOn w:val="Normal"/>
    <w:next w:val="AuthorAddress"/>
    <w:rPr>
      <w:lang w:val="en-GB"/>
    </w:rPr>
  </w:style>
  <w:style w:type="paragraph" w:customStyle="1" w:styleId="AuthorAddress">
    <w:name w:val="AuthorAddress"/>
    <w:basedOn w:val="Author"/>
    <w:next w:val="Blank10pt"/>
    <w:rsid w:val="00D65984"/>
    <w:pPr>
      <w:spacing w:after="200"/>
    </w:pPr>
  </w:style>
  <w:style w:type="paragraph" w:customStyle="1" w:styleId="StyleStilKeywords12pctCursivBold">
    <w:name w:val="Style Stil Keywords + 12 pct. Cursiv + Bold"/>
    <w:basedOn w:val="Normal"/>
    <w:next w:val="Blank10pt"/>
    <w:link w:val="StyleStilKeywords12pctCursivBoldChar"/>
    <w:rsid w:val="0001199F"/>
    <w:rPr>
      <w:b/>
      <w:bCs/>
    </w:rPr>
  </w:style>
  <w:style w:type="paragraph" w:customStyle="1" w:styleId="Title10">
    <w:name w:val="Title1"/>
    <w:basedOn w:val="Normal"/>
    <w:link w:val="Title1Char"/>
    <w:pPr>
      <w:jc w:val="center"/>
    </w:pPr>
    <w:rPr>
      <w:rFonts w:ascii="Arial" w:hAnsi="Arial"/>
      <w:b/>
      <w:caps/>
      <w:sz w:val="28"/>
      <w:lang w:val="en-GB" w:eastAsia="it-IT"/>
    </w:rPr>
  </w:style>
  <w:style w:type="paragraph" w:customStyle="1" w:styleId="Text">
    <w:name w:val="Text"/>
    <w:basedOn w:val="Normal"/>
    <w:pPr>
      <w:jc w:val="both"/>
    </w:pPr>
    <w:rPr>
      <w:rFonts w:ascii="Arial" w:hAnsi="Arial" w:cs="Arial"/>
      <w:lang w:val="en-GB" w:eastAsia="it-IT"/>
    </w:rPr>
  </w:style>
  <w:style w:type="paragraph" w:customStyle="1" w:styleId="StilHeadingSub212pctnainte0pct">
    <w:name w:val="Stil HeadingSub2 + 12 pct. Înainte:  0 pct."/>
    <w:basedOn w:val="HeadingSub2"/>
    <w:link w:val="StilHeadingSub212pctnainte0pctChar"/>
    <w:rsid w:val="00D27A2F"/>
    <w:pPr>
      <w:spacing w:before="200"/>
      <w:ind w:left="0" w:firstLine="0"/>
    </w:pPr>
    <w:rPr>
      <w:bCs/>
      <w:iCs/>
    </w:rPr>
  </w:style>
  <w:style w:type="paragraph" w:customStyle="1" w:styleId="Stilecuatienainte0pctDup0pctSpaierernduri">
    <w:name w:val="Stil ecuatie + Înainte:  0 pct. După:  0 pct. Spaţiere rânduri: ..."/>
    <w:basedOn w:val="ecuatie"/>
    <w:pPr>
      <w:tabs>
        <w:tab w:val="clear" w:pos="3686"/>
        <w:tab w:val="clear" w:pos="8647"/>
      </w:tabs>
      <w:spacing w:before="0" w:after="0" w:line="240" w:lineRule="auto"/>
    </w:pPr>
  </w:style>
  <w:style w:type="paragraph" w:customStyle="1" w:styleId="Equation1">
    <w:name w:val="Equation1"/>
    <w:basedOn w:val="Stilecuatienainte0pctDup0pctSpaierernduri"/>
  </w:style>
  <w:style w:type="paragraph" w:customStyle="1" w:styleId="HeadingSub212pct">
    <w:name w:val="HeadingSub2 + 12 pct."/>
    <w:basedOn w:val="StilHeadingSub212pctnainte0pct"/>
  </w:style>
  <w:style w:type="paragraph" w:customStyle="1" w:styleId="Textabstract">
    <w:name w:val="Text abstract"/>
    <w:basedOn w:val="BodyTextIndent"/>
    <w:rPr>
      <w:i/>
    </w:rPr>
  </w:style>
  <w:style w:type="paragraph" w:customStyle="1" w:styleId="StilStilecuatienainte0pctDup0pctSpaiererndur">
    <w:name w:val="Stil Stil ecuatie + Înainte:  0 pct. După:  0 pct. Spaţiere rândur..."/>
    <w:basedOn w:val="Stilecuatienainte0pctDup0pctSpaierernduri"/>
    <w:pPr>
      <w:jc w:val="both"/>
    </w:pPr>
  </w:style>
  <w:style w:type="paragraph" w:customStyle="1" w:styleId="FigureSubtitle0">
    <w:name w:val="Figure Subtitle"/>
    <w:basedOn w:val="FigureSubtitle"/>
    <w:pPr>
      <w:spacing w:before="0" w:after="0"/>
    </w:pPr>
    <w:rPr>
      <w:i w:val="0"/>
    </w:rPr>
  </w:style>
  <w:style w:type="character" w:customStyle="1" w:styleId="TextblocCaracter">
    <w:name w:val="Textbloc Caracter"/>
    <w:rPr>
      <w:sz w:val="24"/>
      <w:szCs w:val="24"/>
      <w:lang w:val="en-GB" w:eastAsia="en-US" w:bidi="ar-SA"/>
    </w:rPr>
  </w:style>
  <w:style w:type="paragraph" w:styleId="BalloonText">
    <w:name w:val="Balloon Text"/>
    <w:basedOn w:val="Normal"/>
    <w:semiHidden/>
    <w:rPr>
      <w:rFonts w:ascii="Tahoma" w:hAnsi="Tahoma" w:cs="Tahoma"/>
      <w:sz w:val="16"/>
      <w:szCs w:val="16"/>
    </w:rPr>
  </w:style>
  <w:style w:type="paragraph" w:customStyle="1" w:styleId="StilKeywords12pctCursiv">
    <w:name w:val="Stil Keywords + 12 pct. Cursiv"/>
    <w:basedOn w:val="Keywords"/>
    <w:rPr>
      <w:i/>
      <w:iCs/>
    </w:rPr>
  </w:style>
  <w:style w:type="character" w:customStyle="1" w:styleId="KeywordsCaracter">
    <w:name w:val="Keywords Caracter"/>
    <w:rPr>
      <w:lang w:val="en-GB" w:eastAsia="en-US" w:bidi="ar-SA"/>
    </w:rPr>
  </w:style>
  <w:style w:type="character" w:customStyle="1" w:styleId="StilKeywords12pctCursivCaracter">
    <w:name w:val="Stil Keywords + 12 pct. Cursiv Caracter"/>
    <w:rPr>
      <w:i/>
      <w:iCs/>
      <w:sz w:val="20"/>
      <w:lang w:val="en-GB" w:eastAsia="en-US" w:bidi="ar-SA"/>
    </w:rPr>
  </w:style>
  <w:style w:type="paragraph" w:customStyle="1" w:styleId="Abstractbloc">
    <w:name w:val="Abstractbloc"/>
    <w:basedOn w:val="BodyTextIndent"/>
    <w:next w:val="Textbloc"/>
    <w:link w:val="AbstractblocChar"/>
    <w:rsid w:val="006229A4"/>
    <w:pPr>
      <w:ind w:firstLine="0"/>
    </w:pPr>
    <w:rPr>
      <w:i/>
      <w:szCs w:val="24"/>
    </w:rPr>
  </w:style>
  <w:style w:type="paragraph" w:customStyle="1" w:styleId="TableSubtitle">
    <w:name w:val="TableSubtitle"/>
    <w:basedOn w:val="FigureSubtitle0"/>
  </w:style>
  <w:style w:type="paragraph" w:customStyle="1" w:styleId="StyleTextbloc10pt">
    <w:name w:val="Style Textbloc + 10 pt"/>
    <w:basedOn w:val="Textbloc"/>
    <w:link w:val="StyleTextbloc10ptChar"/>
    <w:rsid w:val="00A56B4A"/>
    <w:rPr>
      <w:sz w:val="20"/>
    </w:rPr>
  </w:style>
  <w:style w:type="character" w:customStyle="1" w:styleId="TextblocChar">
    <w:name w:val="Textbloc Char"/>
    <w:link w:val="Textbloc"/>
    <w:rsid w:val="0079518A"/>
    <w:rPr>
      <w:rFonts w:ascii="Arial" w:hAnsi="Arial"/>
      <w:sz w:val="22"/>
      <w:szCs w:val="24"/>
      <w:lang w:val="en-GB"/>
    </w:rPr>
  </w:style>
  <w:style w:type="character" w:customStyle="1" w:styleId="StyleTextbloc10ptChar">
    <w:name w:val="Style Textbloc + 10 pt Char"/>
    <w:link w:val="StyleTextbloc10pt"/>
    <w:rsid w:val="00A56B4A"/>
    <w:rPr>
      <w:rFonts w:ascii="Arial" w:hAnsi="Arial"/>
      <w:sz w:val="22"/>
      <w:szCs w:val="24"/>
      <w:lang w:val="en-GB"/>
    </w:rPr>
  </w:style>
  <w:style w:type="character" w:customStyle="1" w:styleId="StyleStilKeywords12pctCursivBoldChar">
    <w:name w:val="Style Stil Keywords + 12 pct. Cursiv + Bold Char"/>
    <w:link w:val="StyleStilKeywords12pctCursivBold"/>
    <w:rsid w:val="0001199F"/>
    <w:rPr>
      <w:b/>
      <w:bCs/>
      <w:lang w:val="ro-RO" w:eastAsia="en-US" w:bidi="ar-SA"/>
    </w:rPr>
  </w:style>
  <w:style w:type="paragraph" w:customStyle="1" w:styleId="AbstractTitle">
    <w:name w:val="Abstract_Title"/>
    <w:basedOn w:val="BodyTextIndent"/>
    <w:next w:val="Textbloc"/>
    <w:link w:val="AbstractTitleChar"/>
    <w:rsid w:val="00A00E51"/>
    <w:pPr>
      <w:spacing w:before="400" w:after="100"/>
      <w:ind w:firstLine="0"/>
    </w:pPr>
    <w:rPr>
      <w:b/>
      <w:iCs/>
      <w:caps/>
    </w:rPr>
  </w:style>
  <w:style w:type="paragraph" w:customStyle="1" w:styleId="AuthorList">
    <w:name w:val="Author List"/>
    <w:basedOn w:val="Normal"/>
    <w:next w:val="Textbloc"/>
    <w:link w:val="AuthorListChar"/>
    <w:rsid w:val="00D65984"/>
    <w:pPr>
      <w:spacing w:before="400" w:after="200"/>
      <w:jc w:val="center"/>
    </w:pPr>
    <w:rPr>
      <w:b/>
      <w:bCs/>
      <w:lang w:eastAsia="x-none"/>
    </w:rPr>
  </w:style>
  <w:style w:type="paragraph" w:customStyle="1" w:styleId="PAPERTITLE">
    <w:name w:val="PAPER_TITLE"/>
    <w:basedOn w:val="Title10"/>
    <w:link w:val="PAPERTITLEChar"/>
    <w:qFormat/>
    <w:rsid w:val="00831D46"/>
    <w:rPr>
      <w:sz w:val="24"/>
      <w:szCs w:val="24"/>
    </w:rPr>
  </w:style>
  <w:style w:type="paragraph" w:customStyle="1" w:styleId="Authorlist0">
    <w:name w:val="Author_list"/>
    <w:basedOn w:val="AuthorList"/>
    <w:link w:val="AuthorlistChar0"/>
    <w:qFormat/>
    <w:rsid w:val="00831D46"/>
    <w:rPr>
      <w:rFonts w:ascii="Arial" w:hAnsi="Arial"/>
    </w:rPr>
  </w:style>
  <w:style w:type="character" w:customStyle="1" w:styleId="Title1Char">
    <w:name w:val="Title1 Char"/>
    <w:link w:val="Title10"/>
    <w:rsid w:val="00506101"/>
    <w:rPr>
      <w:rFonts w:ascii="Arial" w:hAnsi="Arial" w:cs="Arial"/>
      <w:b/>
      <w:caps/>
      <w:sz w:val="28"/>
      <w:lang w:val="en-GB" w:eastAsia="it-IT"/>
    </w:rPr>
  </w:style>
  <w:style w:type="character" w:customStyle="1" w:styleId="PAPERTITLEChar">
    <w:name w:val="PAPER_TITLE Char"/>
    <w:link w:val="PAPERTITLE"/>
    <w:rsid w:val="00831D46"/>
    <w:rPr>
      <w:rFonts w:ascii="Arial" w:hAnsi="Arial"/>
      <w:b/>
      <w:caps/>
      <w:sz w:val="24"/>
      <w:szCs w:val="24"/>
      <w:lang w:val="en-GB" w:eastAsia="it-IT"/>
    </w:rPr>
  </w:style>
  <w:style w:type="paragraph" w:customStyle="1" w:styleId="ABSTRACTHEADING">
    <w:name w:val="ABSTRACT_HEADING"/>
    <w:basedOn w:val="AbstractTitle"/>
    <w:link w:val="ABSTRACTHEADINGChar"/>
    <w:autoRedefine/>
    <w:qFormat/>
    <w:rsid w:val="007F1959"/>
    <w:pPr>
      <w:tabs>
        <w:tab w:val="left" w:pos="5385"/>
      </w:tabs>
      <w:spacing w:before="480" w:after="120"/>
    </w:pPr>
    <w:rPr>
      <w:caps w:val="0"/>
      <w:sz w:val="24"/>
    </w:rPr>
  </w:style>
  <w:style w:type="character" w:customStyle="1" w:styleId="AuthorListChar">
    <w:name w:val="Author List Char"/>
    <w:link w:val="AuthorList"/>
    <w:rsid w:val="00506101"/>
    <w:rPr>
      <w:b/>
      <w:bCs/>
      <w:lang w:val="ro-RO"/>
    </w:rPr>
  </w:style>
  <w:style w:type="character" w:customStyle="1" w:styleId="AuthorlistChar0">
    <w:name w:val="Author_list Char"/>
    <w:link w:val="Authorlist0"/>
    <w:rsid w:val="00831D46"/>
    <w:rPr>
      <w:rFonts w:ascii="Arial" w:hAnsi="Arial"/>
      <w:b/>
      <w:bCs/>
      <w:lang w:val="ro-RO"/>
    </w:rPr>
  </w:style>
  <w:style w:type="paragraph" w:customStyle="1" w:styleId="Abstracttext">
    <w:name w:val="Abstract_text"/>
    <w:basedOn w:val="Abstractbloc"/>
    <w:link w:val="AbstracttextChar"/>
    <w:qFormat/>
    <w:rsid w:val="00506101"/>
  </w:style>
  <w:style w:type="character" w:customStyle="1" w:styleId="BodyTextIndentChar">
    <w:name w:val="Body Text Indent Char"/>
    <w:aliases w:val="TextBloc Char"/>
    <w:link w:val="BodyTextIndent"/>
    <w:rsid w:val="00506101"/>
    <w:rPr>
      <w:lang w:val="ro-RO"/>
    </w:rPr>
  </w:style>
  <w:style w:type="character" w:customStyle="1" w:styleId="AbstractTitleChar">
    <w:name w:val="Abstract_Title Char"/>
    <w:link w:val="AbstractTitle"/>
    <w:rsid w:val="00506101"/>
    <w:rPr>
      <w:b/>
      <w:iCs/>
      <w:caps/>
      <w:lang w:val="ro-RO"/>
    </w:rPr>
  </w:style>
  <w:style w:type="character" w:customStyle="1" w:styleId="ABSTRACTHEADINGChar">
    <w:name w:val="ABSTRACT_HEADING Char"/>
    <w:link w:val="ABSTRACTHEADING"/>
    <w:rsid w:val="007F1959"/>
    <w:rPr>
      <w:b/>
      <w:iCs/>
      <w:sz w:val="24"/>
      <w:lang w:val="ro-RO" w:eastAsia="x-none"/>
    </w:rPr>
  </w:style>
  <w:style w:type="paragraph" w:customStyle="1" w:styleId="SECTIONHEADING">
    <w:name w:val="SECTION_HEADING"/>
    <w:basedOn w:val="StilHeadingMajor12pct"/>
    <w:link w:val="SECTIONHEADINGChar"/>
    <w:autoRedefine/>
    <w:qFormat/>
    <w:rsid w:val="00D55D01"/>
    <w:pPr>
      <w:spacing w:before="480" w:after="120"/>
    </w:pPr>
    <w:rPr>
      <w:caps w:val="0"/>
      <w:sz w:val="24"/>
    </w:rPr>
  </w:style>
  <w:style w:type="character" w:customStyle="1" w:styleId="AbstractblocChar">
    <w:name w:val="Abstractbloc Char"/>
    <w:link w:val="Abstractbloc"/>
    <w:rsid w:val="00506101"/>
    <w:rPr>
      <w:i/>
      <w:szCs w:val="24"/>
      <w:lang w:val="ro-RO"/>
    </w:rPr>
  </w:style>
  <w:style w:type="character" w:customStyle="1" w:styleId="AbstracttextChar">
    <w:name w:val="Abstract_text Char"/>
    <w:link w:val="Abstracttext"/>
    <w:rsid w:val="00506101"/>
    <w:rPr>
      <w:i/>
      <w:szCs w:val="24"/>
      <w:lang w:val="ro-RO"/>
    </w:rPr>
  </w:style>
  <w:style w:type="paragraph" w:customStyle="1" w:styleId="1stsub-heading">
    <w:name w:val="1st_sub-heading"/>
    <w:basedOn w:val="StilHeadingSub112pct"/>
    <w:link w:val="1stsub-headingChar"/>
    <w:autoRedefine/>
    <w:qFormat/>
    <w:rsid w:val="0079518A"/>
    <w:pPr>
      <w:tabs>
        <w:tab w:val="clear" w:pos="576"/>
        <w:tab w:val="num" w:pos="360"/>
      </w:tabs>
    </w:pPr>
    <w:rPr>
      <w:rFonts w:ascii="Arial" w:hAnsi="Arial"/>
    </w:rPr>
  </w:style>
  <w:style w:type="character" w:customStyle="1" w:styleId="HeadingMajorChar">
    <w:name w:val="HeadingMajor Char"/>
    <w:link w:val="HeadingMajor"/>
    <w:rsid w:val="00506101"/>
    <w:rPr>
      <w:b/>
      <w:caps/>
      <w:lang w:val="en-GB"/>
    </w:rPr>
  </w:style>
  <w:style w:type="character" w:customStyle="1" w:styleId="StilHeadingMajor12pctChar">
    <w:name w:val="Stil HeadingMajor + 12 pct. Char"/>
    <w:link w:val="StilHeadingMajor12pct"/>
    <w:rsid w:val="00506101"/>
    <w:rPr>
      <w:b/>
      <w:bCs/>
      <w:caps/>
      <w:szCs w:val="24"/>
      <w:lang w:val="en-GB"/>
    </w:rPr>
  </w:style>
  <w:style w:type="character" w:customStyle="1" w:styleId="SECTIONHEADINGChar">
    <w:name w:val="SECTION_HEADING Char"/>
    <w:link w:val="SECTIONHEADING"/>
    <w:rsid w:val="00D55D01"/>
    <w:rPr>
      <w:b/>
      <w:bCs/>
      <w:sz w:val="24"/>
      <w:szCs w:val="24"/>
      <w:lang w:val="en-GB" w:eastAsia="x-none"/>
    </w:rPr>
  </w:style>
  <w:style w:type="paragraph" w:customStyle="1" w:styleId="2ndSub-heading">
    <w:name w:val="2nd_Sub-heading"/>
    <w:basedOn w:val="HeadingSub2"/>
    <w:link w:val="2ndSub-headingChar"/>
    <w:autoRedefine/>
    <w:qFormat/>
    <w:rsid w:val="0079518A"/>
    <w:pPr>
      <w:tabs>
        <w:tab w:val="clear" w:pos="720"/>
        <w:tab w:val="num" w:pos="360"/>
      </w:tabs>
      <w:spacing w:before="200"/>
      <w:ind w:left="0" w:firstLine="0"/>
    </w:pPr>
    <w:rPr>
      <w:rFonts w:ascii="Arial" w:hAnsi="Arial"/>
      <w:i w:val="0"/>
    </w:rPr>
  </w:style>
  <w:style w:type="character" w:customStyle="1" w:styleId="HeadingSub1Char">
    <w:name w:val="HeadingSub1 Char"/>
    <w:link w:val="HeadingSub1"/>
    <w:rsid w:val="00506101"/>
    <w:rPr>
      <w:b/>
      <w:caps w:val="0"/>
      <w:lang w:val="en-GB"/>
    </w:rPr>
  </w:style>
  <w:style w:type="character" w:customStyle="1" w:styleId="StilHeadingSub112pctChar">
    <w:name w:val="Stil HeadingSub1 + 12 pct. Char"/>
    <w:link w:val="StilHeadingSub112pct"/>
    <w:rsid w:val="00506101"/>
    <w:rPr>
      <w:b/>
      <w:bCs/>
      <w:caps w:val="0"/>
      <w:lang w:val="en-GB"/>
    </w:rPr>
  </w:style>
  <w:style w:type="character" w:customStyle="1" w:styleId="1stsub-headingChar">
    <w:name w:val="1st_sub-heading Char"/>
    <w:link w:val="1stsub-heading"/>
    <w:rsid w:val="0079518A"/>
    <w:rPr>
      <w:rFonts w:ascii="Arial" w:hAnsi="Arial" w:cs="Arial"/>
      <w:b/>
      <w:bCs/>
      <w:caps w:val="0"/>
      <w:lang w:val="en-GB"/>
    </w:rPr>
  </w:style>
  <w:style w:type="paragraph" w:customStyle="1" w:styleId="3rdSub-heading">
    <w:name w:val="3rd_Sub-heading"/>
    <w:basedOn w:val="StilHeadingSub212pctnainte0pct"/>
    <w:link w:val="3rdSub-headingChar"/>
    <w:autoRedefine/>
    <w:qFormat/>
    <w:rsid w:val="0079518A"/>
    <w:pPr>
      <w:numPr>
        <w:ilvl w:val="3"/>
      </w:numPr>
      <w:tabs>
        <w:tab w:val="clear" w:pos="864"/>
        <w:tab w:val="left" w:pos="720"/>
      </w:tabs>
    </w:pPr>
    <w:rPr>
      <w:rFonts w:ascii="Arial" w:hAnsi="Arial"/>
    </w:rPr>
  </w:style>
  <w:style w:type="character" w:customStyle="1" w:styleId="HeadingSub2Char">
    <w:name w:val="HeadingSub2 Char"/>
    <w:link w:val="HeadingSub2"/>
    <w:rsid w:val="004644C0"/>
    <w:rPr>
      <w:b/>
      <w:i/>
      <w:caps w:val="0"/>
      <w:lang w:val="en-GB"/>
    </w:rPr>
  </w:style>
  <w:style w:type="character" w:customStyle="1" w:styleId="2ndSub-headingChar">
    <w:name w:val="2nd_Sub-heading Char"/>
    <w:link w:val="2ndSub-heading"/>
    <w:rsid w:val="0079518A"/>
    <w:rPr>
      <w:rFonts w:ascii="Arial" w:hAnsi="Arial" w:cs="Arial"/>
      <w:b/>
      <w:lang w:val="en-GB"/>
    </w:rPr>
  </w:style>
  <w:style w:type="paragraph" w:customStyle="1" w:styleId="SECTIONWITHOUTNUMBER">
    <w:name w:val="SECTION_WITHOUT_NUMBER"/>
    <w:basedOn w:val="SECTIONHEADING"/>
    <w:link w:val="SECTIONWITHOUTNUMBERChar"/>
    <w:autoRedefine/>
    <w:qFormat/>
    <w:rsid w:val="00AB655B"/>
    <w:pPr>
      <w:numPr>
        <w:numId w:val="0"/>
      </w:numPr>
    </w:pPr>
  </w:style>
  <w:style w:type="character" w:customStyle="1" w:styleId="StilHeadingSub212pctnainte0pctChar">
    <w:name w:val="Stil HeadingSub2 + 12 pct. Înainte:  0 pct. Char"/>
    <w:link w:val="StilHeadingSub212pctnainte0pct"/>
    <w:rsid w:val="004644C0"/>
    <w:rPr>
      <w:b/>
      <w:bCs/>
      <w:i/>
      <w:iCs/>
      <w:caps w:val="0"/>
      <w:lang w:val="en-GB"/>
    </w:rPr>
  </w:style>
  <w:style w:type="character" w:customStyle="1" w:styleId="3rdSub-headingChar">
    <w:name w:val="3rd_Sub-heading Char"/>
    <w:link w:val="3rdSub-heading"/>
    <w:rsid w:val="0079518A"/>
    <w:rPr>
      <w:rFonts w:ascii="Arial" w:hAnsi="Arial" w:cs="Arial"/>
      <w:b/>
      <w:bCs/>
      <w:i/>
      <w:iCs/>
      <w:caps w:val="0"/>
      <w:lang w:val="en-GB"/>
    </w:rPr>
  </w:style>
  <w:style w:type="paragraph" w:customStyle="1" w:styleId="BodyText0">
    <w:name w:val="Body_Text"/>
    <w:basedOn w:val="Textbloc"/>
    <w:link w:val="BodyTextChar"/>
    <w:autoRedefine/>
    <w:qFormat/>
    <w:rsid w:val="00DD25EC"/>
    <w:pPr>
      <w:spacing w:line="360" w:lineRule="auto"/>
    </w:pPr>
    <w:rPr>
      <w:rFonts w:ascii="Times New Roman" w:hAnsi="Times New Roman"/>
      <w:b/>
      <w:bCs/>
      <w:sz w:val="24"/>
    </w:rPr>
  </w:style>
  <w:style w:type="character" w:customStyle="1" w:styleId="SECTIONWITHOUTNUMBERChar">
    <w:name w:val="SECTION_WITHOUT_NUMBER Char"/>
    <w:link w:val="SECTIONWITHOUTNUMBER"/>
    <w:rsid w:val="00AB655B"/>
    <w:rPr>
      <w:b/>
      <w:bCs/>
      <w:sz w:val="24"/>
      <w:szCs w:val="24"/>
      <w:lang w:val="en-GB" w:eastAsia="x-none"/>
    </w:rPr>
  </w:style>
  <w:style w:type="paragraph" w:customStyle="1" w:styleId="Style1stsub-headingArial">
    <w:name w:val="Style 1st_sub-heading + Arial"/>
    <w:basedOn w:val="1stsub-heading"/>
    <w:rsid w:val="008F3499"/>
    <w:pPr>
      <w:spacing w:before="240" w:after="120"/>
    </w:pPr>
    <w:rPr>
      <w:sz w:val="22"/>
    </w:rPr>
  </w:style>
  <w:style w:type="character" w:customStyle="1" w:styleId="BodyTextChar">
    <w:name w:val="Body_Text Char"/>
    <w:link w:val="BodyText0"/>
    <w:rsid w:val="00DD25EC"/>
    <w:rPr>
      <w:b/>
      <w:bCs/>
      <w:sz w:val="24"/>
      <w:szCs w:val="24"/>
      <w:lang w:val="en-GB" w:eastAsia="x-none"/>
    </w:rPr>
  </w:style>
  <w:style w:type="paragraph" w:customStyle="1" w:styleId="Style2ndSub-headingArial">
    <w:name w:val="Style 2nd_Sub-heading + Arial"/>
    <w:basedOn w:val="2ndSub-heading"/>
    <w:rsid w:val="008F3499"/>
    <w:pPr>
      <w:spacing w:before="240" w:after="120"/>
    </w:pPr>
    <w:rPr>
      <w:bCs/>
      <w:sz w:val="22"/>
    </w:rPr>
  </w:style>
  <w:style w:type="paragraph" w:customStyle="1" w:styleId="Style3rdSub-headingArial">
    <w:name w:val="Style 3rd_Sub-heading + Arial"/>
    <w:basedOn w:val="3rdSub-heading"/>
    <w:rsid w:val="008F3499"/>
    <w:pPr>
      <w:spacing w:before="240" w:after="120"/>
    </w:pPr>
    <w:rPr>
      <w:sz w:val="22"/>
    </w:rPr>
  </w:style>
  <w:style w:type="paragraph" w:styleId="Bibliography">
    <w:name w:val="Bibliography"/>
    <w:basedOn w:val="Normal"/>
    <w:next w:val="Normal"/>
    <w:uiPriority w:val="37"/>
    <w:semiHidden/>
    <w:unhideWhenUsed/>
    <w:rsid w:val="00E45DAA"/>
  </w:style>
  <w:style w:type="character" w:customStyle="1" w:styleId="Heading4Char">
    <w:name w:val="Heading 4 Char"/>
    <w:link w:val="Heading4"/>
    <w:rsid w:val="00B1784D"/>
    <w:rPr>
      <w:b/>
      <w:i/>
      <w:lang w:val="en-GB"/>
    </w:rPr>
  </w:style>
  <w:style w:type="character" w:customStyle="1" w:styleId="UnresolvedMention1">
    <w:name w:val="Unresolved Mention1"/>
    <w:uiPriority w:val="99"/>
    <w:semiHidden/>
    <w:unhideWhenUsed/>
    <w:rsid w:val="00B1784D"/>
    <w:rPr>
      <w:color w:val="605E5C"/>
      <w:shd w:val="clear" w:color="auto" w:fill="E1DFDD"/>
    </w:rPr>
  </w:style>
  <w:style w:type="paragraph" w:styleId="NoSpacing">
    <w:name w:val="No Spacing"/>
    <w:uiPriority w:val="1"/>
    <w:qFormat/>
    <w:rsid w:val="00366CA2"/>
    <w:rPr>
      <w:rFonts w:ascii="Aptos" w:eastAsia="Aptos" w:hAnsi="Aptos" w:cs="Vrinda"/>
      <w:kern w:val="2"/>
      <w:sz w:val="22"/>
      <w:szCs w:val="28"/>
      <w:lang w:bidi="th-TH"/>
    </w:rPr>
  </w:style>
  <w:style w:type="character" w:customStyle="1" w:styleId="normaltextrun">
    <w:name w:val="normaltextrun"/>
    <w:basedOn w:val="DefaultParagraphFont"/>
    <w:rsid w:val="00366CA2"/>
  </w:style>
  <w:style w:type="character" w:styleId="Strong">
    <w:name w:val="Strong"/>
    <w:basedOn w:val="DefaultParagraphFont"/>
    <w:uiPriority w:val="22"/>
    <w:qFormat/>
    <w:rsid w:val="007249EA"/>
    <w:rPr>
      <w:b/>
      <w:bCs/>
    </w:rPr>
  </w:style>
  <w:style w:type="table" w:customStyle="1" w:styleId="TableGridLight1">
    <w:name w:val="Table Grid Light1"/>
    <w:basedOn w:val="TableNormal"/>
    <w:uiPriority w:val="40"/>
    <w:rsid w:val="007249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rsid w:val="007249E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7249E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1C0AEE"/>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182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16321">
      <w:bodyDiv w:val="1"/>
      <w:marLeft w:val="0"/>
      <w:marRight w:val="0"/>
      <w:marTop w:val="0"/>
      <w:marBottom w:val="0"/>
      <w:divBdr>
        <w:top w:val="none" w:sz="0" w:space="0" w:color="auto"/>
        <w:left w:val="none" w:sz="0" w:space="0" w:color="auto"/>
        <w:bottom w:val="none" w:sz="0" w:space="0" w:color="auto"/>
        <w:right w:val="none" w:sz="0" w:space="0" w:color="auto"/>
      </w:divBdr>
    </w:div>
    <w:div w:id="351028893">
      <w:bodyDiv w:val="1"/>
      <w:marLeft w:val="0"/>
      <w:marRight w:val="0"/>
      <w:marTop w:val="0"/>
      <w:marBottom w:val="0"/>
      <w:divBdr>
        <w:top w:val="none" w:sz="0" w:space="0" w:color="auto"/>
        <w:left w:val="none" w:sz="0" w:space="0" w:color="auto"/>
        <w:bottom w:val="none" w:sz="0" w:space="0" w:color="auto"/>
        <w:right w:val="none" w:sz="0" w:space="0" w:color="auto"/>
      </w:divBdr>
    </w:div>
    <w:div w:id="746537499">
      <w:bodyDiv w:val="1"/>
      <w:marLeft w:val="0"/>
      <w:marRight w:val="0"/>
      <w:marTop w:val="0"/>
      <w:marBottom w:val="0"/>
      <w:divBdr>
        <w:top w:val="none" w:sz="0" w:space="0" w:color="auto"/>
        <w:left w:val="none" w:sz="0" w:space="0" w:color="auto"/>
        <w:bottom w:val="none" w:sz="0" w:space="0" w:color="auto"/>
        <w:right w:val="none" w:sz="0" w:space="0" w:color="auto"/>
      </w:divBdr>
    </w:div>
    <w:div w:id="973565790">
      <w:bodyDiv w:val="1"/>
      <w:marLeft w:val="0"/>
      <w:marRight w:val="0"/>
      <w:marTop w:val="0"/>
      <w:marBottom w:val="0"/>
      <w:divBdr>
        <w:top w:val="none" w:sz="0" w:space="0" w:color="auto"/>
        <w:left w:val="none" w:sz="0" w:space="0" w:color="auto"/>
        <w:bottom w:val="none" w:sz="0" w:space="0" w:color="auto"/>
        <w:right w:val="none" w:sz="0" w:space="0" w:color="auto"/>
      </w:divBdr>
    </w:div>
    <w:div w:id="1043675359">
      <w:bodyDiv w:val="1"/>
      <w:marLeft w:val="0"/>
      <w:marRight w:val="0"/>
      <w:marTop w:val="0"/>
      <w:marBottom w:val="0"/>
      <w:divBdr>
        <w:top w:val="none" w:sz="0" w:space="0" w:color="auto"/>
        <w:left w:val="none" w:sz="0" w:space="0" w:color="auto"/>
        <w:bottom w:val="none" w:sz="0" w:space="0" w:color="auto"/>
        <w:right w:val="none" w:sz="0" w:space="0" w:color="auto"/>
      </w:divBdr>
    </w:div>
    <w:div w:id="1132333527">
      <w:bodyDiv w:val="1"/>
      <w:marLeft w:val="0"/>
      <w:marRight w:val="0"/>
      <w:marTop w:val="0"/>
      <w:marBottom w:val="0"/>
      <w:divBdr>
        <w:top w:val="none" w:sz="0" w:space="0" w:color="auto"/>
        <w:left w:val="none" w:sz="0" w:space="0" w:color="auto"/>
        <w:bottom w:val="none" w:sz="0" w:space="0" w:color="auto"/>
        <w:right w:val="none" w:sz="0" w:space="0" w:color="auto"/>
      </w:divBdr>
    </w:div>
    <w:div w:id="1300381578">
      <w:bodyDiv w:val="1"/>
      <w:marLeft w:val="0"/>
      <w:marRight w:val="0"/>
      <w:marTop w:val="0"/>
      <w:marBottom w:val="0"/>
      <w:divBdr>
        <w:top w:val="none" w:sz="0" w:space="0" w:color="auto"/>
        <w:left w:val="none" w:sz="0" w:space="0" w:color="auto"/>
        <w:bottom w:val="none" w:sz="0" w:space="0" w:color="auto"/>
        <w:right w:val="none" w:sz="0" w:space="0" w:color="auto"/>
      </w:divBdr>
    </w:div>
    <w:div w:id="168054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11</Pages>
  <Words>2946</Words>
  <Characters>18593</Characters>
  <Application>Microsoft Office Word</Application>
  <DocSecurity>0</DocSecurity>
  <Lines>464</Lines>
  <Paragraphs>229</Paragraphs>
  <ScaleCrop>false</ScaleCrop>
  <HeadingPairs>
    <vt:vector size="2" baseType="variant">
      <vt:variant>
        <vt:lpstr>Title</vt:lpstr>
      </vt:variant>
      <vt:variant>
        <vt:i4>1</vt:i4>
      </vt:variant>
    </vt:vector>
  </HeadingPairs>
  <TitlesOfParts>
    <vt:vector size="1" baseType="lpstr">
      <vt:lpstr>Template paper VAREHD 13</vt:lpstr>
    </vt:vector>
  </TitlesOfParts>
  <Company/>
  <LinksUpToDate>false</LinksUpToDate>
  <CharactersWithSpaces>21310</CharactersWithSpaces>
  <SharedDoc>false</SharedDoc>
  <HLinks>
    <vt:vector size="6" baseType="variant">
      <vt:variant>
        <vt:i4>2031619</vt:i4>
      </vt:variant>
      <vt:variant>
        <vt:i4>0</vt:i4>
      </vt:variant>
      <vt:variant>
        <vt:i4>0</vt:i4>
      </vt:variant>
      <vt:variant>
        <vt:i4>5</vt:i4>
      </vt:variant>
      <vt:variant>
        <vt:lpwstr>https://www.butex.edu.bd/conference-2024/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paper VAREHD 13</dc:title>
  <dc:subject/>
  <dc:creator>L.I.</dc:creator>
  <cp:keywords/>
  <cp:lastModifiedBy>ismail - [2010]</cp:lastModifiedBy>
  <cp:revision>10</cp:revision>
  <cp:lastPrinted>2008-10-14T07:31:00Z</cp:lastPrinted>
  <dcterms:created xsi:type="dcterms:W3CDTF">2025-04-05T08:50:00Z</dcterms:created>
  <dcterms:modified xsi:type="dcterms:W3CDTF">2025-04-05T17:09:00Z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a81eb795729439ee7cb5310be13a51b1664e9fa211e261ae4d23a9caf03fbe14</vt:lpwstr>
  </property>
</Properties>
</file>