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8465.30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w:t>
            </w:r>
          </w:p>
        </w:tc>
        <w:tc>
          <w:tcPr>
            <w:tcW w:w="3000" w:type="dxa"/>
          </w:tcPr>
          <w:p>
            <w:r>
              <w:rPr/>
              <w:t>=H1=JG1=BFA1=WDB1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=H1=JG2=BQC1=WDB1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=H1=HA3=BPA1=WGA1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=H1=JG2=BPC2=WGA1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=H1=JG1=BFA1=WGA1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=P1=LA1=BQB3=WGA1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31</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=H1=HA1=QMB1=WGA1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34</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=H1=JF1=QMA10=WGA2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=H1=JF1=QMA10=WGA1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=H1=JF1=QMA1=WDB1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=H1=JF1=QMA1=WGB1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39</w:t>
            </w:r>
          </w:p>
        </w:tc>
        <w:tc>
          <w:tcPr>
            <w:tcW w:w="3000" w:type="dxa"/>
          </w:tcPr>
          <w:p>
            <w:r>
              <w:rPr/>
              <w:t>=H1=JG1=BFA1=WGB1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40</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(8.465 * 1000) / 1.5 ≈ 6.644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(8465.296 * 1000) = 4.479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+ 4.479 = 8.783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8.783 * (8465.296 / 1000) = 74.351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0.263 + 0.19 + 0.146 + 0.056 + 0.056 + 0.056 + 0.056 + 0.056 + 0.056 + 0.056 + 0.056 + 0.056 + 0.056 + 0.056 + 0.056 + 0.056 + 0.056 + 0.056 + 0.056 + 0.056 + 0.062 + 0.095 + 0.056 + 0.056 + 0.095 + 0.056 + 0.056 + 0.056 + 0.095 + 0.062 + 0.056 + 0.056 + 0.095 + 0.056 + 0.095 + 0.056 + 0.056 + 0.091 + 0.091 + 0.122 + 1.05 = 4.064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4.064 * (8465.296 / 1000) = 34.403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8.783 + 4.064 = 12.847 [kg/m]</w:t>
      </w:r>
      <w:r w:rsidR="00892F3F">
        <w:t xml:space="preserve"/>
      </w:r>
      <w:r>
        <w:t/>
      </w:r>
      <w:r w:rsidR="00DE48EF">
        <w:t xml:space="preserve"/>
      </w:r>
    </w:p>
    <w:p w:rsidR="00237E5B" w:rsidP="00A12DBF" w:rsidRDefault="00C57DF4" w14:paraId="04CCFF27" w14:textId="2DC4AAC8">
      <w:pPr>
        <w:jc w:val="center"/>
      </w:pPr>
      <w:r>
        <w:t xml:space="preserve">Total weight: 74.351 + 34.403 = 108.754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670a3f9225b4c5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9189dfb120c49e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(11.9 * 1) + 1 * 1 + (10.9 * 1) + 1 * 1 + (9.6 * 1) + 1 * 1 + (8.3 * 2) + 1 * 2 + (6.3 * 1) + 1 * 1 + (5.7 * 4) + 1 * 4 = 88.1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(88.1 / 400 * 100) = 77.97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71337f50fd84243"/>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670a3f9225b4c54" /><Relationship Type="http://schemas.openxmlformats.org/officeDocument/2006/relationships/image" Target="/media/image2.jpg" Id="R59189dfb120c49ec" /><Relationship Type="http://schemas.openxmlformats.org/officeDocument/2006/relationships/image" Target="/media/image3.jpg" Id="Rf71337f50fd8424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