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8649.56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(8.65 * 1000) / 5.5 ≈ 2.573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(8649.557 * 1000) = 1.878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+ 1.878 = 8.191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8.191 * (8649.557 / 1000) = 70.849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+ 0.095 + 0.052 + 0.122 + 0.122 = 1.345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1.345 * (8649.557 / 1000) = 11.634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8.191 + 1.345 = 9.536 [kg/m]</w:t>
      </w:r>
      <w:r w:rsidR="00892F3F">
        <w:t xml:space="preserve"/>
      </w:r>
      <w:r>
        <w:t/>
      </w:r>
      <w:r w:rsidR="00DE48EF">
        <w:t xml:space="preserve"/>
      </w:r>
    </w:p>
    <w:p w:rsidR="00237E5B" w:rsidP="00A12DBF" w:rsidRDefault="00C57DF4" w14:paraId="04CCFF27" w14:textId="2DC4AAC8">
      <w:pPr>
        <w:jc w:val="center"/>
      </w:pPr>
      <w:r>
        <w:t xml:space="preserve">Total weight: 70.849 + 11.634 = 82.483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54ef475e80457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3d37f065de44d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1) + 1 * 1 = 96.6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(96.6 / 300 * 100) = 67.8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ce7517ec7914ea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854ef475e80457c" /><Relationship Type="http://schemas.openxmlformats.org/officeDocument/2006/relationships/image" Target="/media/image2.jpg" Id="R2b3d37f065de44d6" /><Relationship Type="http://schemas.openxmlformats.org/officeDocument/2006/relationships/image" Target="/media/image3.jpg" Id="R6ce7517ec7914ea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