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Oefening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Ontwerp een basis webpagina met als naam “kennismaking.html”.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Geef de pagina de titel “Mijn eerste webpagina”.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In de body schrijf je jouw naam en voornaam als een heading en je geboortedatum en woonplaats als gewone tekst.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Vervolledig de code totdat je de volgende webpagina bekomt: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Valideer je oplossing via http://validator.w3.org/, je mag geen foutmeldingen of waarschuwingen overhouden.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Oefening 2 1. Surf via Chrome of FireFox naar https://www.sportfocus.be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Bekijk de broncode.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Welke doctype wordt hier gebruikt?</w:t>
        <w:br w:type="textWrapping"/>
        <w:t xml:space="preserve">doctype html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Welke title wordt hier gebruikt?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SportFocus vzw - Zwemlessen - Sportkampen - Voetbal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Welke charset wordt hier gebruikt?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a1aa6"/>
          <w:rtl w:val="0"/>
        </w:rPr>
        <w:t xml:space="preserve">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Valideer de webpagina. Is deze pagina valide?</w:t>
        <w:br w:type="textWrapping"/>
        <w:t xml:space="preserve">Nee, er zijn 19 errors en 1 warning.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7. In de code staat iets ivm met favicon &lt;link rel="icon" href="***.png" /&gt; Zoek op het internet wat dit stukje code betekent. Waar zie je het effect van deze lijn code in Chrome?</w:t>
        <w:br w:type="textWrapping"/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Een favicon, urlicon of pagina-icoon, is een pictogram dat geassocieerd is met een website. </w:t>
        <w:br w:type="textWrapping"/>
        <w:t xml:space="preserve">Het effect zie je in het tabblad bovenaan.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