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3" w:rsidRPr="00753A43" w:rsidRDefault="004675FF">
      <w:r>
        <w:rPr>
          <w:b/>
        </w:rPr>
        <w:t>Sterke og svake syrer, pH-meter</w:t>
      </w:r>
    </w:p>
    <w:p w:rsidR="003D7666" w:rsidRPr="003D7666" w:rsidRDefault="00753A43">
      <w:pPr>
        <w:rPr>
          <w:b/>
        </w:rPr>
      </w:pPr>
      <w:r>
        <w:rPr>
          <w:b/>
        </w:rPr>
        <w:t>Hensikt:</w:t>
      </w:r>
      <w:r w:rsidR="003D7666">
        <w:rPr>
          <w:b/>
        </w:rPr>
        <w:t xml:space="preserve"> </w:t>
      </w:r>
    </w:p>
    <w:p w:rsidR="00753A43" w:rsidRDefault="00F048A5">
      <w:r>
        <w:t xml:space="preserve">Måle </w:t>
      </w:r>
      <w:r w:rsidR="005C01C3">
        <w:t>pH</w:t>
      </w:r>
      <w:r w:rsidR="003D7666">
        <w:t xml:space="preserve"> til to syrer.</w:t>
      </w:r>
    </w:p>
    <w:p w:rsidR="00753A43" w:rsidRDefault="00753A43">
      <w:r w:rsidRPr="00753A43">
        <w:rPr>
          <w:b/>
        </w:rPr>
        <w:t>Utstyr:</w:t>
      </w:r>
    </w:p>
    <w:p w:rsidR="00753A43" w:rsidRDefault="003D7666" w:rsidP="003D7666">
      <w:pPr>
        <w:pStyle w:val="Listeavsnitt"/>
        <w:numPr>
          <w:ilvl w:val="0"/>
          <w:numId w:val="1"/>
        </w:numPr>
      </w:pPr>
      <w:r>
        <w:t>Pipette</w:t>
      </w:r>
    </w:p>
    <w:p w:rsidR="003D7666" w:rsidRDefault="003D7666" w:rsidP="003D7666">
      <w:pPr>
        <w:pStyle w:val="Listeavsnitt"/>
        <w:numPr>
          <w:ilvl w:val="0"/>
          <w:numId w:val="1"/>
        </w:numPr>
      </w:pPr>
      <w:r>
        <w:t>To 100ml begerglass</w:t>
      </w:r>
    </w:p>
    <w:p w:rsidR="003D7666" w:rsidRDefault="003D7666" w:rsidP="003D7666">
      <w:pPr>
        <w:pStyle w:val="Listeavsnitt"/>
        <w:numPr>
          <w:ilvl w:val="0"/>
          <w:numId w:val="1"/>
        </w:numPr>
      </w:pPr>
      <w:r>
        <w:t>10ml målsylinder</w:t>
      </w:r>
    </w:p>
    <w:p w:rsidR="003D7666" w:rsidRDefault="003D7666" w:rsidP="003D7666">
      <w:pPr>
        <w:pStyle w:val="Listeavsnitt"/>
        <w:numPr>
          <w:ilvl w:val="0"/>
          <w:numId w:val="1"/>
        </w:numPr>
      </w:pPr>
      <w:r>
        <w:t>Destillert vann</w:t>
      </w:r>
    </w:p>
    <w:p w:rsidR="003D7666" w:rsidRDefault="003D7666" w:rsidP="003D7666">
      <w:pPr>
        <w:pStyle w:val="Listeavsnitt"/>
        <w:numPr>
          <w:ilvl w:val="0"/>
          <w:numId w:val="1"/>
        </w:numPr>
      </w:pPr>
      <w:r>
        <w:t>100ml målekolbe med kork</w:t>
      </w:r>
    </w:p>
    <w:p w:rsidR="003D7666" w:rsidRDefault="005C01C3" w:rsidP="003D7666">
      <w:pPr>
        <w:pStyle w:val="Listeavsnitt"/>
        <w:numPr>
          <w:ilvl w:val="0"/>
          <w:numId w:val="1"/>
        </w:numPr>
      </w:pPr>
      <w:r>
        <w:t>pH-meter med elektrode</w:t>
      </w:r>
    </w:p>
    <w:p w:rsidR="005C01C3" w:rsidRDefault="005C01C3" w:rsidP="003D7666">
      <w:pPr>
        <w:pStyle w:val="Listeavsnitt"/>
        <w:numPr>
          <w:ilvl w:val="0"/>
          <w:numId w:val="1"/>
        </w:numPr>
      </w:pPr>
      <w:r>
        <w:t xml:space="preserve">Saltsyre, </w:t>
      </w:r>
      <w:proofErr w:type="spellStart"/>
      <w:r>
        <w:t>HCl</w:t>
      </w:r>
      <w:proofErr w:type="spellEnd"/>
      <w:r>
        <w:t>, 0,10 mol/L</w:t>
      </w:r>
    </w:p>
    <w:p w:rsidR="005C01C3" w:rsidRDefault="005C01C3" w:rsidP="003D7666">
      <w:pPr>
        <w:pStyle w:val="Listeavsnitt"/>
        <w:numPr>
          <w:ilvl w:val="0"/>
          <w:numId w:val="1"/>
        </w:numPr>
      </w:pPr>
      <w:r>
        <w:t>Eddiksyre, CH</w:t>
      </w:r>
      <w:r>
        <w:rPr>
          <w:vertAlign w:val="subscript"/>
        </w:rPr>
        <w:t>3</w:t>
      </w:r>
      <w:r>
        <w:t>COOH, 1 mol/L</w:t>
      </w:r>
    </w:p>
    <w:p w:rsidR="00753A43" w:rsidRDefault="00753A43">
      <w:r>
        <w:rPr>
          <w:b/>
        </w:rPr>
        <w:t>Framgangsmåte:</w:t>
      </w:r>
    </w:p>
    <w:p w:rsidR="00753A43" w:rsidRPr="003D7666" w:rsidRDefault="005C01C3">
      <w:r>
        <w:t>Kalibrer pH-</w:t>
      </w:r>
      <w:proofErr w:type="spellStart"/>
      <w:r>
        <w:t>meteret</w:t>
      </w:r>
      <w:proofErr w:type="spellEnd"/>
      <w:r w:rsidR="003D7666">
        <w:rPr>
          <w:b/>
          <w:i/>
          <w:u w:val="single"/>
        </w:rPr>
        <w:t>.</w:t>
      </w:r>
      <w:r w:rsidR="003D7666">
        <w:t xml:space="preserve"> Mål opp </w:t>
      </w:r>
      <w:r>
        <w:t>10</w:t>
      </w:r>
      <w:r w:rsidR="003D7666">
        <w:t xml:space="preserve"> ml saltsyre</w:t>
      </w:r>
      <w:r w:rsidR="00F048A5">
        <w:t>løsningen</w:t>
      </w:r>
      <w:r w:rsidR="003D7666">
        <w:t xml:space="preserve"> og hell det oppi målekolben. Fyll målekolben opp til 100 ml med destillert vann. Putt på korken og rist godt(helst la det stå i ett døgn).</w:t>
      </w:r>
      <w:r w:rsidR="00F048A5">
        <w:t xml:space="preserve"> Hell løsningen i et begerglass og</w:t>
      </w:r>
      <w:r w:rsidR="003D7666">
        <w:t xml:space="preserve"> </w:t>
      </w:r>
      <w:r w:rsidR="00F048A5">
        <w:t xml:space="preserve">mål </w:t>
      </w:r>
      <w:r>
        <w:t>pH</w:t>
      </w:r>
      <w:r w:rsidR="00F048A5">
        <w:t xml:space="preserve"> på den. Mål deretter opp</w:t>
      </w:r>
      <w:r>
        <w:t xml:space="preserve"> 10ml</w:t>
      </w:r>
      <w:r w:rsidR="00F048A5">
        <w:t xml:space="preserve"> av denne løsningen og hell det oppi målekolben. Pass på at du alltid skyller alt utstyret. Fyll målekolben opp til 100ml merket og hell det deretter over i det begerglasset du brukte sist gang, dette må også være skylt i destillert vann mellom. Mål </w:t>
      </w:r>
      <w:r>
        <w:t>pH</w:t>
      </w:r>
      <w:r w:rsidR="00F048A5">
        <w:t xml:space="preserve"> av løsningen. Mål </w:t>
      </w:r>
      <w:r>
        <w:t>pH</w:t>
      </w:r>
      <w:r w:rsidR="00F048A5">
        <w:t xml:space="preserve"> av eddiksyreløsningen</w:t>
      </w:r>
      <w:r w:rsidR="00753BDA">
        <w:t xml:space="preserve"> og deretter mål opp 10</w:t>
      </w:r>
      <w:r w:rsidR="00F048A5">
        <w:t xml:space="preserve">ml av den. </w:t>
      </w:r>
      <w:r w:rsidR="00753BDA">
        <w:t xml:space="preserve">Hell dette i målekolben og fyll den opp til 100ml merket. Mål </w:t>
      </w:r>
      <w:r>
        <w:t>pH</w:t>
      </w:r>
      <w:r w:rsidR="00753BDA">
        <w:t xml:space="preserve"> av løsningen.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15"/>
        <w:gridCol w:w="2336"/>
        <w:gridCol w:w="2125"/>
        <w:gridCol w:w="2412"/>
      </w:tblGrid>
      <w:tr w:rsidR="00CF2906" w:rsidTr="00CF2906">
        <w:tc>
          <w:tcPr>
            <w:tcW w:w="2415" w:type="dxa"/>
          </w:tcPr>
          <w:p w:rsidR="00CF2906" w:rsidRDefault="00CF2906"/>
        </w:tc>
        <w:tc>
          <w:tcPr>
            <w:tcW w:w="2336" w:type="dxa"/>
          </w:tcPr>
          <w:p w:rsidR="00CF2906" w:rsidRDefault="00CF2906">
            <w:proofErr w:type="spellStart"/>
            <w:r>
              <w:t>HCl</w:t>
            </w:r>
            <w:proofErr w:type="spellEnd"/>
          </w:p>
        </w:tc>
        <w:tc>
          <w:tcPr>
            <w:tcW w:w="2125" w:type="dxa"/>
          </w:tcPr>
          <w:p w:rsidR="00CF2906" w:rsidRPr="005C01C3" w:rsidRDefault="00CF2906"/>
        </w:tc>
        <w:tc>
          <w:tcPr>
            <w:tcW w:w="2412" w:type="dxa"/>
          </w:tcPr>
          <w:p w:rsidR="00CF2906" w:rsidRDefault="00CF2906">
            <w:r w:rsidRPr="005C01C3">
              <w:t>CH</w:t>
            </w:r>
            <w:r>
              <w:rPr>
                <w:vertAlign w:val="subscript"/>
              </w:rPr>
              <w:t>3</w:t>
            </w:r>
            <w:r w:rsidRPr="005C01C3">
              <w:t>COOH</w:t>
            </w:r>
          </w:p>
        </w:tc>
      </w:tr>
      <w:tr w:rsidR="00CF2906" w:rsidTr="00CF2906">
        <w:tc>
          <w:tcPr>
            <w:tcW w:w="2415" w:type="dxa"/>
          </w:tcPr>
          <w:p w:rsidR="00CF2906" w:rsidRDefault="00CF2906">
            <w:r>
              <w:t>Fortynnet en gang</w:t>
            </w:r>
          </w:p>
        </w:tc>
        <w:tc>
          <w:tcPr>
            <w:tcW w:w="2336" w:type="dxa"/>
          </w:tcPr>
          <w:p w:rsidR="00CF2906" w:rsidRDefault="00CF2906">
            <w:r>
              <w:t>2,01pH</w:t>
            </w:r>
          </w:p>
        </w:tc>
        <w:tc>
          <w:tcPr>
            <w:tcW w:w="2125" w:type="dxa"/>
          </w:tcPr>
          <w:p w:rsidR="00CF2906" w:rsidRDefault="00CF2906">
            <w:r>
              <w:t>Ikke fortynnet</w:t>
            </w:r>
          </w:p>
        </w:tc>
        <w:tc>
          <w:tcPr>
            <w:tcW w:w="2412" w:type="dxa"/>
          </w:tcPr>
          <w:p w:rsidR="00CF2906" w:rsidRDefault="00CF2906">
            <w:r>
              <w:t>2,26pH</w:t>
            </w:r>
          </w:p>
        </w:tc>
      </w:tr>
      <w:tr w:rsidR="00CF2906" w:rsidTr="00CF2906">
        <w:tc>
          <w:tcPr>
            <w:tcW w:w="2415" w:type="dxa"/>
          </w:tcPr>
          <w:p w:rsidR="00CF2906" w:rsidRDefault="00CF2906">
            <w:r>
              <w:t>Fortynnet to ganger</w:t>
            </w:r>
          </w:p>
        </w:tc>
        <w:tc>
          <w:tcPr>
            <w:tcW w:w="2336" w:type="dxa"/>
          </w:tcPr>
          <w:p w:rsidR="00CF2906" w:rsidRDefault="00CF2906">
            <w:r>
              <w:t>2,91pH</w:t>
            </w:r>
          </w:p>
        </w:tc>
        <w:tc>
          <w:tcPr>
            <w:tcW w:w="2125" w:type="dxa"/>
          </w:tcPr>
          <w:p w:rsidR="00CF2906" w:rsidRDefault="00CF2906">
            <w:r>
              <w:t>Fortynnet en gang</w:t>
            </w:r>
          </w:p>
        </w:tc>
        <w:tc>
          <w:tcPr>
            <w:tcW w:w="2412" w:type="dxa"/>
          </w:tcPr>
          <w:p w:rsidR="00CF2906" w:rsidRDefault="00CF2906">
            <w:r>
              <w:t>2,71pH</w:t>
            </w:r>
          </w:p>
        </w:tc>
      </w:tr>
    </w:tbl>
    <w:p w:rsidR="00753A43" w:rsidRDefault="00753A43"/>
    <w:p w:rsidR="009C3321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9C3321">
        <w:rPr>
          <w:b/>
        </w:rPr>
        <w:t>entarer:</w:t>
      </w:r>
    </w:p>
    <w:p w:rsidR="00027BAF" w:rsidRDefault="00027BAF">
      <w:pPr>
        <w:rPr>
          <w:rFonts w:eastAsiaTheme="minorEastAsia"/>
          <w:b/>
        </w:rPr>
      </w:pPr>
      <w:r>
        <w:rPr>
          <w:rFonts w:eastAsiaTheme="minorEastAsia"/>
          <w:b/>
        </w:rPr>
        <w:t>Regne ut pH for saltsyreløsningen etter første fortynning.</w:t>
      </w:r>
    </w:p>
    <w:p w:rsidR="00753A43" w:rsidRPr="009C3321" w:rsidRDefault="009C3321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HCl+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O ↔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753A43" w:rsidRPr="00806D70" w:rsidRDefault="00806D70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HCl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=0,01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(etter første utvanning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806D70" w:rsidRPr="00CF2906" w:rsidRDefault="00806D7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pH= -log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0,01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</w:p>
    <w:p w:rsidR="00CF2906" w:rsidRPr="00CF2906" w:rsidRDefault="00CF290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pH=2</m:t>
          </m:r>
        </m:oMath>
      </m:oMathPara>
    </w:p>
    <w:p w:rsidR="00CF2906" w:rsidRDefault="00CF2906">
      <w:pPr>
        <w:rPr>
          <w:rFonts w:eastAsiaTheme="minorEastAsia"/>
          <w:b/>
        </w:rPr>
      </w:pPr>
    </w:p>
    <w:p w:rsidR="004675FF" w:rsidRDefault="004675FF">
      <w:pPr>
        <w:rPr>
          <w:rFonts w:eastAsiaTheme="minorEastAsia"/>
          <w:b/>
        </w:rPr>
      </w:pPr>
    </w:p>
    <w:p w:rsidR="004675FF" w:rsidRDefault="004675FF">
      <w:pPr>
        <w:rPr>
          <w:rFonts w:eastAsiaTheme="minorEastAsia"/>
          <w:b/>
        </w:rPr>
      </w:pPr>
    </w:p>
    <w:p w:rsidR="00027BAF" w:rsidRDefault="00027BAF">
      <w:pPr>
        <w:rPr>
          <w:rFonts w:eastAsiaTheme="minorEastAsia"/>
          <w:b/>
        </w:rPr>
      </w:pPr>
      <w:r>
        <w:rPr>
          <w:rFonts w:eastAsiaTheme="minorEastAsia"/>
          <w:b/>
        </w:rPr>
        <w:t>Regne ut pH for eddiksyreløsningen før fortynning.</w:t>
      </w:r>
      <w:bookmarkStart w:id="0" w:name="_GoBack"/>
      <w:bookmarkEnd w:id="0"/>
    </w:p>
    <w:p w:rsidR="00CF2906" w:rsidRPr="004675FF" w:rsidRDefault="00CF290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COOH+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O ↔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4675FF" w:rsidRDefault="004675FF">
      <w:pPr>
        <w:rPr>
          <w:rFonts w:eastAsiaTheme="minorEastAsia"/>
          <w:b/>
        </w:rPr>
      </w:pPr>
      <w:r>
        <w:rPr>
          <w:rFonts w:eastAsiaTheme="minorEastAsia"/>
          <w:b/>
        </w:rPr>
        <w:t>[CH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COOH] = 1-x</w:t>
      </w:r>
    </w:p>
    <w:p w:rsidR="004675FF" w:rsidRDefault="004675FF">
      <w:pPr>
        <w:rPr>
          <w:rFonts w:eastAsiaTheme="minorEastAsia"/>
          <w:b/>
        </w:rPr>
      </w:pPr>
      <w:r>
        <w:rPr>
          <w:rFonts w:eastAsiaTheme="minorEastAsia"/>
          <w:b/>
        </w:rPr>
        <w:t>[CH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COO</w:t>
      </w:r>
      <w:r>
        <w:rPr>
          <w:rFonts w:eastAsiaTheme="minorEastAsia"/>
          <w:b/>
          <w:vertAlign w:val="superscript"/>
        </w:rPr>
        <w:t>-</w:t>
      </w:r>
      <w:r>
        <w:rPr>
          <w:rFonts w:eastAsiaTheme="minorEastAsia"/>
          <w:b/>
        </w:rPr>
        <w:t>] = x</w:t>
      </w:r>
    </w:p>
    <w:p w:rsidR="004675FF" w:rsidRPr="00CF2906" w:rsidRDefault="004675FF">
      <w:pPr>
        <w:rPr>
          <w:rFonts w:eastAsiaTheme="minorEastAsia"/>
          <w:b/>
        </w:rPr>
      </w:pPr>
      <w:r>
        <w:rPr>
          <w:rFonts w:eastAsiaTheme="minorEastAsia"/>
          <w:b/>
        </w:rPr>
        <w:t>[H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O</w:t>
      </w:r>
      <w:r>
        <w:rPr>
          <w:rFonts w:eastAsiaTheme="minorEastAsia"/>
          <w:b/>
          <w:vertAlign w:val="superscript"/>
        </w:rPr>
        <w:t>+</w:t>
      </w:r>
      <w:r>
        <w:rPr>
          <w:rFonts w:eastAsiaTheme="minorEastAsia"/>
          <w:b/>
        </w:rPr>
        <w:t>] = x</w:t>
      </w:r>
    </w:p>
    <w:p w:rsidR="00CF2906" w:rsidRPr="00CB0095" w:rsidRDefault="00CB0095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COOH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=Ka</m:t>
          </m:r>
        </m:oMath>
      </m:oMathPara>
    </w:p>
    <w:p w:rsidR="00CB0095" w:rsidRPr="00CB0095" w:rsidRDefault="00CB0095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=1,8∙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:rsidR="00CB0095" w:rsidRPr="00CB0095" w:rsidRDefault="00CB0095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+1,8∙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x-1∙1,8∙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CB0095" w:rsidRPr="004675FF" w:rsidRDefault="004675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x=4,2∙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</m:oMath>
      </m:oMathPara>
    </w:p>
    <w:p w:rsidR="004675FF" w:rsidRPr="004675FF" w:rsidRDefault="004675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pH=-log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4,2∙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=2,37</m:t>
          </m:r>
        </m:oMath>
      </m:oMathPara>
    </w:p>
    <w:p w:rsidR="004675FF" w:rsidRPr="004675FF" w:rsidRDefault="004675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pH=2,4</m:t>
          </m:r>
        </m:oMath>
      </m:oMathPara>
    </w:p>
    <w:p w:rsidR="004675FF" w:rsidRPr="004675FF" w:rsidRDefault="004675FF">
      <w:pPr>
        <w:rPr>
          <w:rFonts w:eastAsiaTheme="minorEastAsia"/>
          <w:b/>
        </w:rPr>
      </w:pPr>
    </w:p>
    <w:p w:rsidR="004675FF" w:rsidRPr="00CB0095" w:rsidRDefault="004675FF">
      <w:pPr>
        <w:rPr>
          <w:rFonts w:eastAsiaTheme="minorEastAsia"/>
          <w:b/>
        </w:rPr>
      </w:pPr>
    </w:p>
    <w:sectPr w:rsidR="004675FF" w:rsidRPr="00CB00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6E" w:rsidRDefault="007A7F6E" w:rsidP="00753A43">
      <w:pPr>
        <w:spacing w:after="0" w:line="240" w:lineRule="auto"/>
      </w:pPr>
      <w:r>
        <w:separator/>
      </w:r>
    </w:p>
  </w:endnote>
  <w:endnote w:type="continuationSeparator" w:id="0">
    <w:p w:rsidR="007A7F6E" w:rsidRDefault="007A7F6E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6E" w:rsidRDefault="007A7F6E" w:rsidP="00753A43">
      <w:pPr>
        <w:spacing w:after="0" w:line="240" w:lineRule="auto"/>
      </w:pPr>
      <w:r>
        <w:separator/>
      </w:r>
    </w:p>
  </w:footnote>
  <w:footnote w:type="continuationSeparator" w:id="0">
    <w:p w:rsidR="007A7F6E" w:rsidRDefault="007A7F6E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666" w:rsidRDefault="003D7666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08DF"/>
    <w:multiLevelType w:val="hybridMultilevel"/>
    <w:tmpl w:val="83142B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27BAF"/>
    <w:rsid w:val="001B6610"/>
    <w:rsid w:val="003B4DB0"/>
    <w:rsid w:val="003D7666"/>
    <w:rsid w:val="004675FF"/>
    <w:rsid w:val="00475439"/>
    <w:rsid w:val="0052493B"/>
    <w:rsid w:val="005C01C3"/>
    <w:rsid w:val="005C3FC1"/>
    <w:rsid w:val="00622065"/>
    <w:rsid w:val="00680C54"/>
    <w:rsid w:val="006F5A44"/>
    <w:rsid w:val="007438AB"/>
    <w:rsid w:val="00753A43"/>
    <w:rsid w:val="00753BDA"/>
    <w:rsid w:val="007A7F6E"/>
    <w:rsid w:val="00800F7C"/>
    <w:rsid w:val="00806D70"/>
    <w:rsid w:val="00853B8D"/>
    <w:rsid w:val="009A2D78"/>
    <w:rsid w:val="009C3321"/>
    <w:rsid w:val="00A84ECD"/>
    <w:rsid w:val="00C000F8"/>
    <w:rsid w:val="00CB0095"/>
    <w:rsid w:val="00CF2906"/>
    <w:rsid w:val="00E54209"/>
    <w:rsid w:val="00F0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3D7666"/>
    <w:pPr>
      <w:ind w:left="720"/>
      <w:contextualSpacing/>
    </w:pPr>
  </w:style>
  <w:style w:type="table" w:styleId="Tabellrutenett">
    <w:name w:val="Table Grid"/>
    <w:basedOn w:val="Vanligtabell"/>
    <w:uiPriority w:val="59"/>
    <w:rsid w:val="0075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9C332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C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C3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3D7666"/>
    <w:pPr>
      <w:ind w:left="720"/>
      <w:contextualSpacing/>
    </w:pPr>
  </w:style>
  <w:style w:type="table" w:styleId="Tabellrutenett">
    <w:name w:val="Table Grid"/>
    <w:basedOn w:val="Vanligtabell"/>
    <w:uiPriority w:val="59"/>
    <w:rsid w:val="0075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9C332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C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C3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68F5-95DF-4F38-93CE-DB19E3CE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274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6</cp:revision>
  <dcterms:created xsi:type="dcterms:W3CDTF">2015-01-20T15:30:00Z</dcterms:created>
  <dcterms:modified xsi:type="dcterms:W3CDTF">2015-01-20T22:11:00Z</dcterms:modified>
</cp:coreProperties>
</file>