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20"/>
        <w:jc w:val="center"/>
      </w:pPr>
      <w:r>
        <w:rPr>
          <w:rFonts w:ascii="Times New Roman" w:cs="Times New Roman" w:eastAsia="Times New Roman" w:hAnsi="Times New Roman"/>
          <w:b/>
          <w:bCs/>
          <w:sz w:val="26"/>
          <w:szCs w:val="26"/>
        </w:rPr>
        <w:t xml:space="preserve">HỌC VIỆN QUỐC PHÒNG</w:t>
      </w:r>
    </w:p>
    <w:p>
      <w:pPr>
        <w:spacing w:after="20"/>
        <w:jc w:val="center"/>
      </w:pPr>
      <w:r>
        <w:rPr>
          <w:rFonts w:ascii="Times New Roman" w:cs="Times New Roman" w:eastAsia="Times New Roman" w:hAnsi="Times New Roman"/>
          <w:b/>
          <w:bCs/>
          <w:color w:val="1E3924"/>
          <w:sz w:val="28"/>
          <w:szCs w:val="28"/>
        </w:rPr>
        <w:t xml:space="preserve">TẠP CHÍ NGHỆ THUẬT QUÂN SỰ VIỆT NAM</w:t>
      </w:r>
    </w:p>
    <w:p>
      <w:pPr>
        <w:spacing w:after="60"/>
        <w:jc w:val="center"/>
      </w:pPr>
      <w:r>
        <w:rPr>
          <w:rFonts w:ascii="Times New Roman" w:cs="Times New Roman" w:eastAsia="Times New Roman" w:hAnsi="Times New Roman"/>
          <w:i/>
          <w:iCs/>
          <w:color w:val="555555"/>
          <w:sz w:val="22"/>
          <w:szCs w:val="22"/>
        </w:rPr>
        <w:t xml:space="preserve">Journal of Vietnamese Military Art</w:t>
      </w:r>
    </w:p>
    <w:p>
      <w:pPr>
        <w:spacing w:after="120"/>
        <w:jc w:val="center"/>
      </w:pPr>
      <w:r>
        <w:drawing>
          <wp:inline distT="0" distB="0" distL="0" distR="0">
            <wp:extent cx="914400" cy="1104900"/>
            <wp:effectExtent t="0" r="0" b="0" l="0"/>
            <wp:docPr id="1" name="logoHVQP" descr="Huy hiệu Học viện Quốc phòng" title="Logo HV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1104900"/>
                    </a:xfrm>
                    <a:prstGeom prst="rect">
                      <a:avLst/>
                    </a:prstGeom>
                  </pic:spPr>
                </pic:pic>
              </a:graphicData>
            </a:graphic>
          </wp:inline>
        </w:drawing>
      </w:r>
    </w:p>
    <w:p>
      <w:pPr>
        <w:pBdr>
          <w:bottom w:val="single" w:color="B8902A" w:sz="14" w:space="1"/>
        </w:pBdr>
        <w:spacing w:after="360"/>
      </w:pPr>
      <w:r>
        <w:t xml:space="preserve"/>
      </w:r>
    </w:p>
    <w:p>
      <w:pPr>
        <w:spacing w:after="240"/>
      </w:pPr>
      <w:r>
        <w:t xml:space="preserve"/>
      </w:r>
    </w:p>
    <w:p>
      <w:pPr>
        <w:spacing w:after="40"/>
        <w:jc w:val="center"/>
      </w:pPr>
      <w:r>
        <w:rPr>
          <w:rFonts w:ascii="Times New Roman" w:cs="Times New Roman" w:eastAsia="Times New Roman" w:hAnsi="Times New Roman"/>
          <w:b/>
          <w:bCs/>
          <w:color w:val="1E3924"/>
          <w:sz w:val="30"/>
          <w:szCs w:val="30"/>
        </w:rPr>
        <w:t xml:space="preserve">HỒ SƠ NGHIỆM THU DỰ ÁN PHẦN MỀM</w:t>
      </w:r>
    </w:p>
    <w:p>
      <w:pPr>
        <w:spacing w:after="360"/>
        <w:jc w:val="center"/>
      </w:pPr>
      <w:r>
        <w:rPr>
          <w:rFonts w:ascii="Times New Roman" w:cs="Times New Roman" w:eastAsia="Times New Roman" w:hAnsi="Times New Roman"/>
          <w:b/>
          <w:bCs/>
          <w:sz w:val="26"/>
          <w:szCs w:val="26"/>
        </w:rPr>
        <w:t xml:space="preserve">TẠP CHÍ ĐIỆN TỬ NGHỆ THUẬT QUÂN SỰ VIỆT NAM</w:t>
      </w:r>
    </w:p>
    <w:p>
      <w:pPr>
        <w:spacing w:after="200"/>
      </w:pPr>
      <w:r>
        <w:t xml:space="preserve"/>
      </w:r>
    </w:p>
    <w:p>
      <w:pPr>
        <w:spacing w:after="40"/>
        <w:jc w:val="center"/>
      </w:pPr>
      <w:r>
        <w:rPr>
          <w:rFonts w:ascii="Times New Roman" w:cs="Times New Roman" w:eastAsia="Times New Roman" w:hAnsi="Times New Roman"/>
          <w:color w:val="555555"/>
          <w:sz w:val="24"/>
          <w:szCs w:val="24"/>
        </w:rPr>
        <w:t xml:space="preserve">TÀI LIỆU</w:t>
      </w:r>
    </w:p>
    <w:p>
      <w:pPr>
        <w:spacing w:after="40"/>
        <w:jc w:val="center"/>
      </w:pPr>
      <w:r>
        <w:rPr>
          <w:rFonts w:ascii="Times New Roman" w:cs="Times New Roman" w:eastAsia="Times New Roman" w:hAnsi="Times New Roman"/>
          <w:b/>
          <w:bCs/>
          <w:color w:val="1E3924"/>
          <w:sz w:val="34"/>
          <w:szCs w:val="34"/>
        </w:rPr>
        <w:t xml:space="preserve">ĐẶC TẢ YÊU CẦU PHẦN MỀM</w:t>
      </w:r>
    </w:p>
    <w:p>
      <w:pPr>
        <w:spacing w:after="200"/>
        <w:jc w:val="center"/>
      </w:pPr>
      <w:r>
        <w:rPr>
          <w:rFonts w:ascii="Times New Roman" w:cs="Times New Roman" w:eastAsia="Times New Roman" w:hAnsi="Times New Roman"/>
          <w:i/>
          <w:iCs/>
          <w:color w:val="555555"/>
          <w:sz w:val="24"/>
          <w:szCs w:val="24"/>
        </w:rPr>
        <w:t xml:space="preserve">Software Requirements Specification (SRS)</w:t>
      </w:r>
    </w:p>
    <w:p>
      <w:pPr>
        <w:spacing w:after="300"/>
      </w:pPr>
      <w:r>
        <w:t xml:space="preserve"/>
      </w:r>
    </w:p>
    <w:p>
      <w:pPr>
        <w:jc w:val="center"/>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Mã hiệu tài liệu</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NTQS-NT-02</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Phiên bản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1.0</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Cấp độ</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hành nội bộ</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Đơn vị chủ quản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Học viện Quốc phòng</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Chủ đầu tư / Tòa soạn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Tạp chí Nghệ thuật Quân sự Việt Nam</w:t>
            </w:r>
          </w:p>
        </w:tc>
      </w:tr>
    </w:tbl>
    <w:p>
      <w:pPr>
        <w:spacing w:after="360"/>
      </w:pPr>
      <w:r>
        <w:t xml:space="preserve"/>
      </w:r>
    </w:p>
    <w:p>
      <w:pPr>
        <w:spacing w:after="0"/>
        <w:jc w:val="center"/>
      </w:pPr>
      <w:r>
        <w:rPr>
          <w:rFonts w:ascii="Times New Roman" w:cs="Times New Roman" w:eastAsia="Times New Roman" w:hAnsi="Times New Roman"/>
          <w:b/>
          <w:bCs/>
          <w:sz w:val="24"/>
          <w:szCs w:val="24"/>
        </w:rPr>
        <w:t xml:space="preserve">HÀ NỘI, NĂM 2026</w:t>
      </w:r>
    </w:p>
    <w:p>
      <w:r>
        <w:br w:type="page"/>
      </w:r>
    </w:p>
    <w:p>
      <w:pPr>
        <w:spacing w:after="200"/>
        <w:jc w:val="center"/>
      </w:pPr>
      <w:r>
        <w:rPr>
          <w:b/>
          <w:bCs/>
          <w:caps/>
          <w:color w:val="1E392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20" w:line="312"/>
        <w:jc w:val="both"/>
      </w:pPr>
      <w:r>
        <w:t xml:space="preserve">Tài liệu Đặc tả yêu cầu phần mềm (SRS) mô tả đầy đủ các yêu cầu chức năng và phi chức năng của phần mềm “Tạp chí điện tử Nghệ thuật Quân sự Việt Nam”, làm cơ sở thống nhất giữa các bên về phạm vi sản phẩm, phục vụ thiết kế, kiểm thử và nghiệm thu.</w:t>
      </w:r>
    </w:p>
    <w:p>
      <w:pPr>
        <w:pStyle w:val="Heading2"/>
      </w:pPr>
      <w:r>
        <w:t xml:space="preserve">1.2. Phạm vi sản phẩm</w:t>
      </w:r>
    </w:p>
    <w:p>
      <w:pPr>
        <w:spacing w:after="120" w:line="312"/>
        <w:jc w:val="both"/>
      </w:pPr>
      <w:r>
        <w:t xml:space="preserve">Phần mềm cung cấp: (1) hệ quản trị nội bộ phục vụ toàn trình xuất bản tạp chí khoa học (nộp bài – phản biện – biên tập – dàn trang – xuất bản); (2) cổng đọc công khai và kho lưu trữ số; (3) các công cụ hỗ trợ: phát hiện đạo văn, thống kê – báo cáo, quản trị nội dung và quản trị – kiểm toán hệ thống.</w:t>
      </w:r>
    </w:p>
    <w:p>
      <w:pPr>
        <w:pStyle w:val="Heading2"/>
      </w:pPr>
      <w:r>
        <w:t xml:space="preserve">1.3. Thuật ngữ và từ viết tắt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7054"/>
      </w:tblGrid>
      <w:tr>
        <w:trPr>
          <w:tblHeader/>
        </w:trPr>
        <w:tc>
          <w:tcPr>
            <w:tcW w:type="dxa" w:w="23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Thuật ngữ</w:t>
            </w:r>
          </w:p>
        </w:tc>
        <w:tc>
          <w:tcPr>
            <w:tcW w:type="dxa" w:w="70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Giải thích</w:t>
            </w:r>
          </w:p>
        </w:tc>
      </w:tr>
      <w:tr>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RBAC</w:t>
            </w:r>
          </w:p>
        </w:tc>
        <w:tc>
          <w:tcPr>
            <w:tcW w:type="dxa" w:w="7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Kiểm soát truy cập theo vai trò (Role-Based Access Control)</w:t>
            </w:r>
          </w:p>
        </w:tc>
      </w:tr>
      <w:tr>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2FA</w:t>
            </w:r>
          </w:p>
        </w:tc>
        <w:tc>
          <w:tcPr>
            <w:tcW w:type="dxa" w:w="70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Xác thực hai lớp (Two-Factor Authentication)</w:t>
            </w:r>
          </w:p>
        </w:tc>
      </w:tr>
      <w:tr>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SRS</w:t>
            </w:r>
          </w:p>
        </w:tc>
        <w:tc>
          <w:tcPr>
            <w:tcW w:type="dxa" w:w="7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Đặc tả yêu cầu phần mềm (Software Requirements Specification)</w:t>
            </w:r>
          </w:p>
        </w:tc>
      </w:tr>
      <w:tr>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 / NFR</w:t>
            </w:r>
          </w:p>
        </w:tc>
        <w:tc>
          <w:tcPr>
            <w:tcW w:type="dxa" w:w="70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Yêu cầu chức năng / Yêu cầu phi chức năng</w:t>
            </w:r>
          </w:p>
        </w:tc>
      </w:tr>
      <w:tr>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Air-gapped</w:t>
            </w:r>
          </w:p>
        </w:tc>
        <w:tc>
          <w:tcPr>
            <w:tcW w:type="dxa" w:w="7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Mạng cô lập, không kết nối Internet</w:t>
            </w:r>
          </w:p>
        </w:tc>
      </w:tr>
      <w:tr>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EPUB</w:t>
            </w:r>
          </w:p>
        </w:tc>
        <w:tc>
          <w:tcPr>
            <w:tcW w:type="dxa" w:w="70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Định dạng sách điện tử mở dùng cho thư viện đọc số</w:t>
            </w:r>
          </w:p>
        </w:tc>
      </w:tr>
    </w:tbl>
    <w:p>
      <w:pPr>
        <w:pStyle w:val="Heading2"/>
      </w:pPr>
      <w:r>
        <w:t xml:space="preserve">1.4. Tài liệu tham chiếu</w:t>
      </w:r>
    </w:p>
    <w:p>
      <w:pPr>
        <w:pStyle w:val="ListParagraph"/>
        <w:numPr>
          <w:ilvl w:val="0"/>
          <w:numId w:val="2"/>
        </w:numPr>
        <w:spacing w:after="60" w:line="300"/>
        <w:jc w:val="both"/>
      </w:pPr>
      <w:r>
        <w:t xml:space="preserve">NTQS-NT-03 — Tài liệu thiết kế hệ thống.</w:t>
      </w:r>
    </w:p>
    <w:p>
      <w:pPr>
        <w:pStyle w:val="ListParagraph"/>
        <w:numPr>
          <w:ilvl w:val="0"/>
          <w:numId w:val="2"/>
        </w:numPr>
        <w:spacing w:after="60" w:line="300"/>
        <w:jc w:val="both"/>
      </w:pPr>
      <w:r>
        <w:t xml:space="preserve">NTQS-NT-04 — Phương án bảo đảm an toàn thông tin.</w:t>
      </w:r>
    </w:p>
    <w:p>
      <w:pPr>
        <w:pStyle w:val="ListParagraph"/>
        <w:numPr>
          <w:ilvl w:val="0"/>
          <w:numId w:val="2"/>
        </w:numPr>
        <w:spacing w:after="60" w:line="300"/>
        <w:jc w:val="both"/>
      </w:pPr>
      <w:r>
        <w:t xml:space="preserve">NTQS-NT-05 — Ma trận truy vết yêu cầu.</w:t>
      </w:r>
    </w:p>
    <w:p>
      <w:pPr>
        <w:pStyle w:val="ListParagraph"/>
        <w:numPr>
          <w:ilvl w:val="0"/>
          <w:numId w:val="2"/>
        </w:numPr>
        <w:spacing w:after="60" w:line="300"/>
        <w:jc w:val="both"/>
      </w:pPr>
      <w:r>
        <w:t xml:space="preserve">NTQS-NT-06 — Kế hoạch và kết quả kiểm thử.</w:t>
      </w:r>
    </w:p>
    <w:p>
      <w:pPr>
        <w:pStyle w:val="Heading1"/>
      </w:pPr>
      <w:r>
        <w:t xml:space="preserve">2. Mô tả tổng thể</w:t>
      </w:r>
    </w:p>
    <w:p>
      <w:pPr>
        <w:pStyle w:val="Heading2"/>
      </w:pPr>
      <w:r>
        <w:t xml:space="preserve">2.1. Bối cảnh sản phẩm</w:t>
      </w:r>
    </w:p>
    <w:p>
      <w:pPr>
        <w:spacing w:after="120" w:line="312"/>
        <w:jc w:val="both"/>
      </w:pPr>
      <w:r>
        <w:t xml:space="preserve">Sản phẩm là ứng dụng web độc lập của Tạp chí Nghệ thuật Quân sự Việt Nam, có cơ sở dữ liệu riêng (PostgreSQL), được thiết kế vận hành trong môi trường mạng nội bộ/cô lập. Hệ thống kế thừa kiến trúc nền tảng quản trị tạp chí khoa học và được cá biệt hóa theo nhận diện và nghiệp vụ của Học viện Quốc phòng.</w:t>
      </w:r>
    </w:p>
    <w:p>
      <w:pPr>
        <w:pStyle w:val="Heading2"/>
      </w:pPr>
      <w:r>
        <w:t xml:space="preserve">2.2. Lớp người dùng và vai trò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00"/>
        <w:gridCol w:w="6054"/>
      </w:tblGrid>
      <w:tr>
        <w:trPr>
          <w:tblHeader/>
        </w:trPr>
        <w:tc>
          <w:tcPr>
            <w:tcW w:type="dxa" w:w="33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Vai trò</w:t>
            </w:r>
          </w:p>
        </w:tc>
        <w:tc>
          <w:tcPr>
            <w:tcW w:type="dxa" w:w="60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 nghiệp vụ</w:t>
            </w:r>
          </w:p>
        </w:tc>
      </w:tr>
      <w:tr>
        <w:tc>
          <w:tcPr>
            <w:tcW w:type="dxa" w:w="3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READER — Độc giả</w:t>
            </w:r>
          </w:p>
        </w:tc>
        <w:tc>
          <w:tcPr>
            <w:tcW w:type="dxa" w:w="6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Đọc bài, tra cứu số/chuyên mục công khai</w:t>
            </w:r>
          </w:p>
        </w:tc>
      </w:tr>
      <w:tr>
        <w:tc>
          <w:tcPr>
            <w:tcW w:type="dxa" w:w="3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AUTHOR — Tác giả</w:t>
            </w:r>
          </w:p>
        </w:tc>
        <w:tc>
          <w:tcPr>
            <w:tcW w:type="dxa" w:w="60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Gửi và theo dõi bản thảo, phản hồi chỉnh sửa</w:t>
            </w:r>
          </w:p>
        </w:tc>
      </w:tr>
      <w:tr>
        <w:tc>
          <w:tcPr>
            <w:tcW w:type="dxa" w:w="3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REVIEWER — Phản biện viên</w:t>
            </w:r>
          </w:p>
        </w:tc>
        <w:tc>
          <w:tcPr>
            <w:tcW w:type="dxa" w:w="6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Nhận/từ chối, nộp phiếu phản biện</w:t>
            </w:r>
          </w:p>
        </w:tc>
      </w:tr>
      <w:tr>
        <w:tc>
          <w:tcPr>
            <w:tcW w:type="dxa" w:w="3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SECTION_EDITOR — BTV chuyên mục</w:t>
            </w:r>
          </w:p>
        </w:tc>
        <w:tc>
          <w:tcPr>
            <w:tcW w:type="dxa" w:w="60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Sàng lọc, phân công phản biện theo chuyên mục</w:t>
            </w:r>
          </w:p>
        </w:tc>
      </w:tr>
      <w:tr>
        <w:tc>
          <w:tcPr>
            <w:tcW w:type="dxa" w:w="3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MANAGING_EDITOR — Thư ký tòa soạn</w:t>
            </w:r>
          </w:p>
        </w:tc>
        <w:tc>
          <w:tcPr>
            <w:tcW w:type="dxa" w:w="6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Điều phối quy trình, phân công biên tập</w:t>
            </w:r>
          </w:p>
        </w:tc>
      </w:tr>
      <w:tr>
        <w:tc>
          <w:tcPr>
            <w:tcW w:type="dxa" w:w="3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DEPUTY_EIC — Phó Tổng biên tập</w:t>
            </w:r>
          </w:p>
        </w:tc>
        <w:tc>
          <w:tcPr>
            <w:tcW w:type="dxa" w:w="60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Giám sát biên tập, hỗ trợ quyết định</w:t>
            </w:r>
          </w:p>
        </w:tc>
      </w:tr>
      <w:tr>
        <w:tc>
          <w:tcPr>
            <w:tcW w:type="dxa" w:w="3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EIC — Tổng biên tập</w:t>
            </w:r>
          </w:p>
        </w:tc>
        <w:tc>
          <w:tcPr>
            <w:tcW w:type="dxa" w:w="6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Quyết định cuối cùng, phê duyệt xuất bản</w:t>
            </w:r>
          </w:p>
        </w:tc>
      </w:tr>
      <w:tr>
        <w:tc>
          <w:tcPr>
            <w:tcW w:type="dxa" w:w="3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LAYOUT_EDITOR — BTV dàn trang</w:t>
            </w:r>
          </w:p>
        </w:tc>
        <w:tc>
          <w:tcPr>
            <w:tcW w:type="dxa" w:w="60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Dàn trang, chuẩn bị bản xuất bản</w:t>
            </w:r>
          </w:p>
        </w:tc>
      </w:tr>
      <w:tr>
        <w:tc>
          <w:tcPr>
            <w:tcW w:type="dxa" w:w="3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SYSADMIN — Quản trị hệ thống</w:t>
            </w:r>
          </w:p>
        </w:tc>
        <w:tc>
          <w:tcPr>
            <w:tcW w:type="dxa" w:w="6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trị người dùng, cấu hình, vận hành</w:t>
            </w:r>
          </w:p>
        </w:tc>
      </w:tr>
      <w:tr>
        <w:tc>
          <w:tcPr>
            <w:tcW w:type="dxa" w:w="3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SECURITY_AUDITOR — Kiểm định bảo mật</w:t>
            </w:r>
          </w:p>
        </w:tc>
        <w:tc>
          <w:tcPr>
            <w:tcW w:type="dxa" w:w="60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Giám sát nhật ký, cảnh báo an ninh</w:t>
            </w:r>
          </w:p>
        </w:tc>
      </w:tr>
      <w:tr>
        <w:tc>
          <w:tcPr>
            <w:tcW w:type="dxa" w:w="3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COMMANDER — Chỉ huy Học viện</w:t>
            </w:r>
          </w:p>
        </w:tc>
        <w:tc>
          <w:tcPr>
            <w:tcW w:type="dxa" w:w="60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Xem báo cáo tổng hợp, chỉ số quản lý</w:t>
            </w:r>
          </w:p>
        </w:tc>
      </w:tr>
    </w:tbl>
    <w:p>
      <w:pPr>
        <w:pStyle w:val="Heading2"/>
      </w:pPr>
      <w:r>
        <w:t xml:space="preserve">2.3. Môi trường vận hành</w:t>
      </w:r>
    </w:p>
    <w:p>
      <w:pPr>
        <w:pStyle w:val="ListParagraph"/>
        <w:numPr>
          <w:ilvl w:val="0"/>
          <w:numId w:val="2"/>
        </w:numPr>
        <w:spacing w:after="60" w:line="300"/>
        <w:jc w:val="both"/>
      </w:pPr>
      <w:r>
        <w:t xml:space="preserve">Máy chủ ứng dụng Node.js 20, cơ sở dữ liệu PostgreSQL; chạy dịch vụ qua pm2.</w:t>
      </w:r>
    </w:p>
    <w:p>
      <w:pPr>
        <w:pStyle w:val="ListParagraph"/>
        <w:numPr>
          <w:ilvl w:val="0"/>
          <w:numId w:val="2"/>
        </w:numPr>
        <w:spacing w:after="60" w:line="300"/>
        <w:jc w:val="both"/>
      </w:pPr>
      <w:r>
        <w:t xml:space="preserve">Trình duyệt người dùng hiện đại; giao diện đáp ứng đa thiết bị.</w:t>
      </w:r>
    </w:p>
    <w:p>
      <w:pPr>
        <w:pStyle w:val="ListParagraph"/>
        <w:numPr>
          <w:ilvl w:val="0"/>
          <w:numId w:val="2"/>
        </w:numPr>
        <w:spacing w:after="60" w:line="300"/>
        <w:jc w:val="both"/>
      </w:pPr>
      <w:r>
        <w:t xml:space="preserve">Lưu trữ tệp nội bộ (mặc định) hoặc MinIO/S3; Redis tùy chọn cho rate limit/cache.</w:t>
      </w:r>
    </w:p>
    <w:p>
      <w:pPr>
        <w:pStyle w:val="Heading2"/>
      </w:pPr>
      <w:r>
        <w:t xml:space="preserve">2.4. Ràng buộc thiết kế</w:t>
      </w:r>
    </w:p>
    <w:p>
      <w:pPr>
        <w:pStyle w:val="ListParagraph"/>
        <w:numPr>
          <w:ilvl w:val="0"/>
          <w:numId w:val="2"/>
        </w:numPr>
        <w:spacing w:after="60" w:line="300"/>
        <w:jc w:val="both"/>
      </w:pPr>
      <w:r>
        <w:t xml:space="preserve">Bảo đảm vận hành trong mạng cô lập: không phụ thuộc CDN/dịch vụ ngoài để chạy lõi.</w:t>
      </w:r>
    </w:p>
    <w:p>
      <w:pPr>
        <w:pStyle w:val="ListParagraph"/>
        <w:numPr>
          <w:ilvl w:val="0"/>
          <w:numId w:val="2"/>
        </w:numPr>
        <w:spacing w:after="60" w:line="300"/>
        <w:jc w:val="both"/>
      </w:pPr>
      <w:r>
        <w:t xml:space="preserve">Toàn bộ nhận diện, dữ liệu mẫu, cấu hình theo đúng Tạp chí NTQS – Học viện Quốc phòng.</w:t>
      </w:r>
    </w:p>
    <w:p>
      <w:pPr>
        <w:pStyle w:val="ListParagraph"/>
        <w:numPr>
          <w:ilvl w:val="0"/>
          <w:numId w:val="2"/>
        </w:numPr>
        <w:spacing w:after="60" w:line="300"/>
        <w:jc w:val="both"/>
      </w:pPr>
      <w:r>
        <w:t xml:space="preserve">Cơ sở dữ liệu tách biệt hoàn toàn, không dùng chung với hệ thống khác.</w:t>
      </w:r>
    </w:p>
    <w:p>
      <w:pPr>
        <w:pStyle w:val="Heading2"/>
      </w:pPr>
      <w:r>
        <w:t xml:space="preserve">2.5. Giả định và phụ thuộc</w:t>
      </w:r>
    </w:p>
    <w:p>
      <w:pPr>
        <w:pStyle w:val="ListParagraph"/>
        <w:numPr>
          <w:ilvl w:val="0"/>
          <w:numId w:val="2"/>
        </w:numPr>
        <w:spacing w:after="60" w:line="300"/>
        <w:jc w:val="both"/>
      </w:pPr>
      <w:r>
        <w:t xml:space="preserve">Các tính năng tích hợp Internet (ORCID, Crossref, email SMTP) chỉ hoạt động khi môi trường cho phép và được cấu hình.</w:t>
      </w:r>
    </w:p>
    <w:p>
      <w:pPr>
        <w:pStyle w:val="ListParagraph"/>
        <w:numPr>
          <w:ilvl w:val="0"/>
          <w:numId w:val="2"/>
        </w:numPr>
        <w:spacing w:after="60" w:line="300"/>
        <w:jc w:val="both"/>
      </w:pPr>
      <w:r>
        <w:t xml:space="preserve">Đồng bộ thời gian máy chủ (NTP nội bộ) cần thiết để TOTP hoạt động chính xác.</w:t>
      </w:r>
    </w:p>
    <w:p>
      <w:pPr>
        <w:pStyle w:val="Heading1"/>
      </w:pPr>
      <w:r>
        <w:t xml:space="preserve">3. Yêu cầu chức năng</w:t>
      </w:r>
    </w:p>
    <w:p>
      <w:pPr>
        <w:spacing w:after="120" w:line="312"/>
        <w:jc w:val="both"/>
      </w:pPr>
      <w:r>
        <w:t xml:space="preserve">Tổng số yêu cầu chức năng: </w:t>
      </w:r>
      <w:r>
        <w:rPr>
          <w:b/>
          <w:bCs/>
        </w:rPr>
        <w:t xml:space="preserve">43</w:t>
      </w:r>
      <w:r>
        <w:t xml:space="preserve"> (trong đó 32 bắt buộc — ký hiệu “BB”; còn lại nên có — “NC”). Yêu cầu được phân nhóm theo 16 phân hệ:</w:t>
      </w:r>
    </w:p>
    <w:p>
      <w:pPr>
        <w:pStyle w:val="Heading3"/>
      </w:pPr>
      <w:r>
        <w:t xml:space="preserve">PH01. Xác thực và phân quyền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FR-AUTH-01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nhập bảo mật</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Người dùng đăng nhập bằng email/mật khẩu; mật khẩu băm bcrypt; cấp JWT (access 8 giờ, refresh 7 ngày).</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FR-AUTH-02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Xác thực hai lớp (2FA)</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Hỗ trợ TOTP và Email OTP qua token tiền-xác thực; có mã dự phòng; phù hợp mạng nội bộ cô lập.</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FR-AUTH-03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Phân quyền theo vai trò (RBAC)</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Kiểm soát truy cập 11 vai trò ở backend (middleware + guard route), không phụ thuộc giao diện.</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FR-AUTH-04</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soát phạm vi dữ liệu</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Biên tập viên chuyên mục chỉ thấy bản thảo được phân công; độc giả không thấy bài chưa xuất bản.</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PH02. Quản lý người dùng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FR-USER-01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ký và phê duyệt tài khoản</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ký tài khoản, xác minh email, quản trị phê duyệt/khóa/mở tài khoản.</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FR-USER-02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hồ sơ và đổi mật khẩu</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Cập nhật hồ sơ cá nhân, đổi mật khẩu, khôi phục mật khẩu qua email.</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FR-USER-03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Liên kết hồ sơ ORCID</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Liên kết và đồng bộ hồ sơ ORCID cho tác giả (khi có Internet).</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FR-USER-04</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Yêu cầu nâng quyền có kiểm soát</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Người dùng đề nghị nâng vai trò; quản trị/lãnh đạo phê duyệt; ghi nhật ký.</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bl>
    <w:p>
      <w:pPr>
        <w:spacing w:after="80"/>
      </w:pPr>
      <w:r>
        <w:t xml:space="preserve"/>
      </w:r>
    </w:p>
    <w:p>
      <w:pPr>
        <w:pStyle w:val="Heading3"/>
      </w:pPr>
      <w:r>
        <w:t xml:space="preserve">PH03. Nộp bài và quản lý bản thảo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FR-SUB-01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Gửi bản thảo</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Tác giả gửi bản thảo kèm tệp, chọn chuyên mục, từ khóa, thông tin đồng tác giả.</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FR-SUB-02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phiên bản bản thảo</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Lưu các phiên bản chỉnh sửa; không ghi đè bản gốc; truy vết lịch sử nộp.</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FR-SUB-03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Phản hồi và sửa bản thảo</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Tác giả nhận yêu cầu chỉnh sửa, nộp lại kèm tệp phản hồi; trao đổi với biên tập.</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PH04. Phản biện khoa học</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FR-REV-01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Phân công phản biện</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Biên tập phân công phản biện; phản biện nhận/từ chối; theo dõi tiến độ.</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FR-REV-02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Gợi ý phản biện bằng AI</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Đề xuất phản biện phù hợp theo chuyên môn và điểm tương đồng.</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FR-REV-03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Nộp phiếu phản biện</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Phản biện nộp đánh giá và khuyến nghị, lưu nháp, sửa tới khi có quyết định, hỗ trợ vòng phản biện 2.</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FR-REV-04</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Phản biện kín hai chiều</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Ẩn danh tính tác giả – phản biện theo chế độ kín; bảo vệ ở tầng dịch vụ.</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PH05. Biên tập và quy trình xét duyệt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FR-EDT-01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Vòng đời bản thảo</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trạng thái bản thảo qua các giai đoạn (8 trạng thái) với điều kiện chuyển hợp lệ.</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FR-EDT-02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Quyết định biên tập</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Ghi nhận quyết định (chấp nhận/sửa/từ chối) qua một đầu mối thống nhất; chặn nhảy trạng thái từ client.</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FR-EDT-03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Phân công biên tập viên chuyên mục</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Thư ký/Tổng biên tập phân công biên tập viên theo chuyên mục NTQS.</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PH06. Dàn trang và sản xuất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FR-PRD-01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Biên tập chế bản</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công đoạn copyediting và lịch sử chỉnh sửa chế bản.</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FR-PRD-02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Dàn trang và phê duyệt sản xuất</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Hàng đợi dàn trang, tạo bản bông, phê duyệt trước khi xuất bản.</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PH07. Xuất bản số và tập tạp chí</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FR-PUB-01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tập và số tạp chí</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Tạo và quản lý tập (Volume), số (Issue), chuyên mục trong số.</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FR-PUB-02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Xuất bản số/bài</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Công bố số và bài ra cổng công khai; quyền xuất bản giới hạn cho Tổng biên tập/Quản trị.</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FR-PUB-03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Cổng đọc công khai</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Trang chủ, danh sách số mới, đọc bài toàn văn, tra cứu theo chuyên mục, lưu trữ.</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PH08. Kho lưu trữ và thư viện số</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FR-REP-01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Kho bài báo toàn văn</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trữ và tra cứu bài báo toàn văn; xem chi tiết bài inline.</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FR-REP-02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Thư viện đọc số (EPUB)</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Đọc số tạp chí dạng EPUB; số hóa PDF cũ thành bản đọc số.</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FR-REP-03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Nhập liệu PDF/OCR</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Trợ lý nhập số báo cũ: tách mục lục, OCR, dựng nội dung toàn văn.</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bl>
    <w:p>
      <w:pPr>
        <w:spacing w:after="80"/>
      </w:pPr>
      <w:r>
        <w:t xml:space="preserve"/>
      </w:r>
    </w:p>
    <w:p>
      <w:pPr>
        <w:pStyle w:val="Heading3"/>
      </w:pPr>
      <w:r>
        <w:t xml:space="preserve">PH09. Phát hiện đạo văn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FR-PLG-01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Kiểm tra đạo văn</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So khớp đa nguồn (cosine TF-IDF + trùng cụm nguyên văn) cho bản thảo và kho bài.</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FR-PLG-02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Báo cáo đạo văn</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Tổng hợp tỷ lệ trùng, nguồn trùng, độ nguyên gốc; xuất PDF/DOCX.</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PH10. Quản trị nội dung công khai (CMS)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FR-CMS-01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trị trang công khai</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Tạo/sửa trang động, khối nội dung trang chủ, xem trước nháp, lịch sử phiên bản.</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FR-CMS-02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trị điều hướng và banner</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menu, banner, tin tức; footer/header lấy từ cấu hình CSDL.</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PH11. Đa phương tiện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FR-MED-01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video</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Tải lên video phân mảnh/khôi phục, sinh ảnh đại diện, phát trên cổng công khai.</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FR-MED-02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podcast và media</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podcast và thư viện media.</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bl>
    <w:p>
      <w:pPr>
        <w:spacing w:after="80"/>
      </w:pPr>
      <w:r>
        <w:t xml:space="preserve"/>
      </w:r>
    </w:p>
    <w:p>
      <w:pPr>
        <w:pStyle w:val="Heading3"/>
      </w:pPr>
      <w:r>
        <w:t xml:space="preserve">PH12. Thu thập nội dung web</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FR-CRW-01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Thu thập và kiểm duyệt nội dung web</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Cấu hình nguồn, chạy tác vụ thu thập, duyệt và nhập nội dung.</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bl>
    <w:p>
      <w:pPr>
        <w:spacing w:after="80"/>
      </w:pPr>
      <w:r>
        <w:t xml:space="preserve"/>
      </w:r>
    </w:p>
    <w:p>
      <w:pPr>
        <w:pStyle w:val="Heading3"/>
      </w:pPr>
      <w:r>
        <w:t xml:space="preserve">PH13. Thống kê và báo cáo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FR-STA-01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Bảng điều khiển theo vai trò</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Mỗi vai trò có bảng điều khiển riêng với chỉ số phù hợp nghiệp vụ.</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FR-STA-02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Thống kê quy trình và hiệu suất</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Thống kê quy trình, phản biện, biên tập, xu hướng theo thời gian.</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FR-STA-03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Báo cáo công bố</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Xuất danh mục bài báo theo tác giả/tòa soạn ra DOCX/XLSX/PDF.</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bl>
    <w:p>
      <w:pPr>
        <w:spacing w:after="80"/>
      </w:pPr>
      <w:r>
        <w:t xml:space="preserve"/>
      </w:r>
    </w:p>
    <w:p>
      <w:pPr>
        <w:pStyle w:val="Heading3"/>
      </w:pPr>
      <w:r>
        <w:t xml:space="preserve">PH14. Thông báo và nhắc hạn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FR-NOT-01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thời hạn quy trình</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Thiết lập mốc thời hạn, nhắc hạn, theo dõi quá hạn (SLA).</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FR-NOT-02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Thông báo qua email và đẩy</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Gửi email/thông báo đẩy cho sự kiện quy trình; tác vụ định kỳ.</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bl>
    <w:p>
      <w:pPr>
        <w:spacing w:after="80"/>
      </w:pPr>
      <w:r>
        <w:t xml:space="preserve"/>
      </w:r>
    </w:p>
    <w:p>
      <w:pPr>
        <w:pStyle w:val="Heading3"/>
      </w:pPr>
      <w:r>
        <w:t xml:space="preserve">PH15. Tích hợp hệ thống ngoài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FR-INT-01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Tích hợp ORCID/Crossref</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Định danh tác giả ORCID, tra cứu DOI/metadata Crossref (tùy chọn, khi có Internet).</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NC</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FR-INT-02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Lưu trữ tệp và bộ nhớ đệm</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Lưu tệp nội bộ hoặc MinIO/S3; Redis cho rate limit/cache (có phương án thay thế nội bộ).</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3"/>
      </w:pPr>
      <w:r>
        <w:t xml:space="preserve">PH16. Quản trị hệ thống và kiểm toán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5104"/>
        <w:gridCol w:w="900"/>
      </w:tblGrid>
      <w:tr>
        <w:trPr>
          <w:tblHeader/>
        </w:trPr>
        <w:tc>
          <w:tcPr>
            <w:tcW w:type="dxa" w:w="145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 yêu cầu</w:t>
            </w:r>
          </w:p>
        </w:tc>
        <w:tc>
          <w:tcPr>
            <w:tcW w:type="dxa" w:w="510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c>
          <w:tcPr>
            <w:tcW w:type="dxa" w:w="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Mức</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FR-ADM-01</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Nhật ký kiểm toán</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Ghi nhật ký các thao tác nhạy cảm (đăng nhập, nộp bài, quyết định, xuất bản, xuất dữ liệu...).</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FR-ADM-02</w:t>
            </w:r>
          </w:p>
        </w:tc>
        <w:tc>
          <w:tcPr>
            <w:tcW w:type="dxa" w:w="1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Quản lý phiên và cảnh báo an ninh</w:t>
            </w:r>
          </w:p>
        </w:tc>
        <w:tc>
          <w:tcPr>
            <w:tcW w:type="dxa" w:w="510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Theo dõi phiên đăng nhập, cảnh báo an ninh, vô hiệu phiên.</w:t>
            </w:r>
          </w:p>
        </w:tc>
        <w:tc>
          <w:tcPr>
            <w:tcW w:type="dxa" w:w="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r>
        <w:tc>
          <w:tcPr>
            <w:tcW w:type="dxa" w:w="145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FR-ADM-03</w:t>
            </w:r>
          </w:p>
        </w:tc>
        <w:tc>
          <w:tcPr>
            <w:tcW w:type="dxa" w:w="1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Cấu hình hệ thống</w:t>
            </w:r>
          </w:p>
        </w:tc>
        <w:tc>
          <w:tcPr>
            <w:tcW w:type="dxa" w:w="510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Cấu hình tòa soạn, danh mục, hiển thị (UIConfig), tích hợp.</w:t>
            </w:r>
          </w:p>
        </w:tc>
        <w:tc>
          <w:tcPr>
            <w:tcW w:type="dxa" w:w="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BB</w:t>
            </w:r>
          </w:p>
        </w:tc>
      </w:tr>
    </w:tbl>
    <w:p>
      <w:pPr>
        <w:spacing w:after="80"/>
      </w:pPr>
      <w:r>
        <w:t xml:space="preserve"/>
      </w:r>
    </w:p>
    <w:p>
      <w:pPr>
        <w:pStyle w:val="Heading1"/>
      </w:pPr>
      <w:r>
        <w:t xml:space="preserve">4. Yêu cầu phi chức năng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54"/>
      </w:tblGrid>
      <w:tr>
        <w:trPr>
          <w:tblHeader/>
        </w:trPr>
        <w:tc>
          <w:tcPr>
            <w:tcW w:type="dxa" w:w="11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Mã</w:t>
            </w:r>
          </w:p>
        </w:tc>
        <w:tc>
          <w:tcPr>
            <w:tcW w:type="dxa" w:w="15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Nhóm</w:t>
            </w:r>
          </w:p>
        </w:tc>
        <w:tc>
          <w:tcPr>
            <w:tcW w:type="dxa" w:w="23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Tên</w:t>
            </w:r>
          </w:p>
        </w:tc>
        <w:tc>
          <w:tcPr>
            <w:tcW w:type="dxa" w:w="44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Mô tả</w:t>
            </w:r>
          </w:p>
        </w:tc>
      </w:tr>
      <w:tr>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NFR-01</w:t>
            </w:r>
          </w:p>
        </w:tc>
        <w:tc>
          <w:tcPr>
            <w:tcW w:type="dxa" w:w="15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Hiệu năng</w:t>
            </w:r>
          </w:p>
        </w:tc>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Phân trang và tối ưu truy vấn</w:t>
            </w:r>
          </w:p>
        </w:tc>
        <w:tc>
          <w:tcPr>
            <w:tcW w:type="dxa" w:w="4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Danh sách lớn hỗ trợ phân trang/lọc/sắp xếp; có chỉ mục CSDL, tránh N+1; không tải toàn bộ dữ liệu.</w:t>
            </w:r>
          </w:p>
        </w:tc>
      </w:tr>
      <w:tr>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NFR-02</w:t>
            </w:r>
          </w:p>
        </w:tc>
        <w:tc>
          <w:tcPr>
            <w:tcW w:type="dxa" w:w="15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Bảo mật</w:t>
            </w:r>
          </w:p>
        </w:tc>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soát truy cập ở backend</w:t>
            </w:r>
          </w:p>
        </w:tc>
        <w:tc>
          <w:tcPr>
            <w:tcW w:type="dxa" w:w="44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RBAC và scope thực thi ở backend; không tin tưởng giao diện; trường nhạy cảm có guard.</w:t>
            </w:r>
          </w:p>
        </w:tc>
      </w:tr>
      <w:tr>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NFR-03</w:t>
            </w:r>
          </w:p>
        </w:tc>
        <w:tc>
          <w:tcPr>
            <w:tcW w:type="dxa" w:w="15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Bảo mật</w:t>
            </w:r>
          </w:p>
        </w:tc>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Chống tấn công dò mật khẩu</w:t>
            </w:r>
          </w:p>
        </w:tc>
        <w:tc>
          <w:tcPr>
            <w:tcW w:type="dxa" w:w="4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Giới hạn tần suất (rate limit) cho các tuyến xác thực; OTP/đăng nhập có ngưỡng theo thời gian.</w:t>
            </w:r>
          </w:p>
        </w:tc>
      </w:tr>
      <w:tr>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NFR-04</w:t>
            </w:r>
          </w:p>
        </w:tc>
        <w:tc>
          <w:tcPr>
            <w:tcW w:type="dxa" w:w="15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Bảo mật</w:t>
            </w:r>
          </w:p>
        </w:tc>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tra tệp tải lên</w:t>
            </w:r>
          </w:p>
        </w:tc>
        <w:tc>
          <w:tcPr>
            <w:tcW w:type="dxa" w:w="44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Kiểm tra loại MIME, magic byte, kích thước; làm sạch tên tệp; không tin tên tệp từ client.</w:t>
            </w:r>
          </w:p>
        </w:tc>
      </w:tr>
      <w:tr>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NFR-05</w:t>
            </w:r>
          </w:p>
        </w:tc>
        <w:tc>
          <w:tcPr>
            <w:tcW w:type="dxa" w:w="15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Bảo mật</w:t>
            </w:r>
          </w:p>
        </w:tc>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Tiêu đề an ninh và CSP</w:t>
            </w:r>
          </w:p>
        </w:tc>
        <w:tc>
          <w:tcPr>
            <w:tcW w:type="dxa" w:w="4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Thiết lập CSP, HSTS, X-Content-Type-Options...; tối ưu cho mạng cô lập (tự lưu font/JS, không CDN ngoài).</w:t>
            </w:r>
          </w:p>
        </w:tc>
      </w:tr>
      <w:tr>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NFR-06</w:t>
            </w:r>
          </w:p>
        </w:tc>
        <w:tc>
          <w:tcPr>
            <w:tcW w:type="dxa" w:w="15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Khả dụng</w:t>
            </w:r>
          </w:p>
        </w:tc>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Trạng thái tải/trống/lỗi</w:t>
            </w:r>
          </w:p>
        </w:tc>
        <w:tc>
          <w:tcPr>
            <w:tcW w:type="dxa" w:w="44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Mọi màn hình có trạng thái loading/empty/error rõ ràng; không để màn hình trắng khi lỗi API.</w:t>
            </w:r>
          </w:p>
        </w:tc>
      </w:tr>
      <w:tr>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NFR-07</w:t>
            </w:r>
          </w:p>
        </w:tc>
        <w:tc>
          <w:tcPr>
            <w:tcW w:type="dxa" w:w="15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Tương thích</w:t>
            </w:r>
          </w:p>
        </w:tc>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Đáp ứng đa thiết bị</w:t>
            </w:r>
          </w:p>
        </w:tc>
        <w:tc>
          <w:tcPr>
            <w:tcW w:type="dxa" w:w="4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Giao diện responsive; tương thích các trình duyệt hiện đại.</w:t>
            </w:r>
          </w:p>
        </w:tc>
      </w:tr>
      <w:tr>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NFR-08</w:t>
            </w:r>
          </w:p>
        </w:tc>
        <w:tc>
          <w:tcPr>
            <w:tcW w:type="dxa" w:w="15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Triển khai</w:t>
            </w:r>
          </w:p>
        </w:tc>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Cài đặt ngoại tuyến (air-gapped)</w:t>
            </w:r>
          </w:p>
        </w:tc>
        <w:tc>
          <w:tcPr>
            <w:tcW w:type="dxa" w:w="44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Hỗ trợ cài đặt trên máy chủ không Internet bằng gói USB; dịch vụ ngoài mặc định tắt.</w:t>
            </w:r>
          </w:p>
        </w:tc>
      </w:tr>
      <w:tr>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NFR-09</w:t>
            </w:r>
          </w:p>
        </w:tc>
        <w:tc>
          <w:tcPr>
            <w:tcW w:type="dxa" w:w="15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Bảo trì</w:t>
            </w:r>
          </w:p>
        </w:tc>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Kiến trúc phân lớp và kiểu tĩnh</w:t>
            </w:r>
          </w:p>
        </w:tc>
        <w:tc>
          <w:tcPr>
            <w:tcW w:type="dxa" w:w="4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Tách Route–Service–Repository; TypeScript kiểu rõ ràng; có bộ kiểm thử bảo vệ nghiệp vụ cốt lõi.</w:t>
            </w:r>
          </w:p>
        </w:tc>
      </w:tr>
      <w:tr>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NFR-10</w:t>
            </w:r>
          </w:p>
        </w:tc>
        <w:tc>
          <w:tcPr>
            <w:tcW w:type="dxa" w:w="15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Bản địa hóa</w:t>
            </w:r>
          </w:p>
        </w:tc>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Tiếng Việt và xuất bản tiếng Việt</w:t>
            </w:r>
          </w:p>
        </w:tc>
        <w:tc>
          <w:tcPr>
            <w:tcW w:type="dxa" w:w="44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Toàn bộ giao diện tiếng Việt; xuất PDF tiếng Việt đúng font (NotoSerif); xử lý dữ liệu có dấu.</w:t>
            </w:r>
          </w:p>
        </w:tc>
      </w:tr>
      <w:tr>
        <w:tc>
          <w:tcPr>
            <w:tcW w:type="dxa" w:w="11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NFR-11</w:t>
            </w:r>
          </w:p>
        </w:tc>
        <w:tc>
          <w:tcPr>
            <w:tcW w:type="dxa" w:w="15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Dữ liệu</w:t>
            </w:r>
          </w:p>
        </w:tc>
        <w:tc>
          <w:tcPr>
            <w:tcW w:type="dxa" w:w="23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Lịch sử và toàn vẹn dữ liệu</w:t>
            </w:r>
          </w:p>
        </w:tc>
        <w:tc>
          <w:tcPr>
            <w:tcW w:type="dxa" w:w="4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Giữ lịch sử trạng thái/phiên bản; ưu tiên xóa mềm với dữ liệu cần lưu vết; CSDL tách biệt độc lập.</w:t>
            </w:r>
          </w:p>
        </w:tc>
      </w:tr>
      <w:tr>
        <w:tc>
          <w:tcPr>
            <w:tcW w:type="dxa" w:w="11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NFR-12</w:t>
            </w:r>
          </w:p>
        </w:tc>
        <w:tc>
          <w:tcPr>
            <w:tcW w:type="dxa" w:w="15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Định danh</w:t>
            </w:r>
          </w:p>
        </w:tc>
        <w:tc>
          <w:tcPr>
            <w:tcW w:type="dxa" w:w="23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Nhất quán nhận diện NTQS</w:t>
            </w:r>
          </w:p>
        </w:tc>
        <w:tc>
          <w:tcPr>
            <w:tcW w:type="dxa" w:w="44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Bảo đảm đúng nhận diện Tạp chí NTQS – Học viện Quốc phòng; có kiểm thử chống lệch thương hiệu (branding-guard).</w:t>
            </w:r>
          </w:p>
        </w:tc>
      </w:tr>
    </w:tbl>
    <w:p>
      <w:pPr>
        <w:spacing w:after="120"/>
      </w:pPr>
      <w:r>
        <w:t xml:space="preserve"/>
      </w:r>
    </w:p>
    <w:p>
      <w:pPr>
        <w:pStyle w:val="Heading1"/>
      </w:pPr>
      <w:r>
        <w:t xml:space="preserve">5. Yêu cầu giao diện ngoài</w:t>
      </w:r>
    </w:p>
    <w:p>
      <w:pPr>
        <w:pStyle w:val="Heading2"/>
      </w:pPr>
      <w:r>
        <w:t xml:space="preserve">5.1. Giao diện tích hợp</w:t>
      </w:r>
    </w:p>
    <w:p>
      <w:pPr>
        <w:pStyle w:val="ListParagraph"/>
        <w:numPr>
          <w:ilvl w:val="0"/>
          <w:numId w:val="2"/>
        </w:numPr>
        <w:spacing w:after="60" w:line="300"/>
        <w:jc w:val="both"/>
      </w:pPr>
      <w:r>
        <w:t xml:space="preserve">ORCID: xác thực OAuth 2.0, đồng bộ hồ sơ tác giả (tùy chọn).</w:t>
      </w:r>
    </w:p>
    <w:p>
      <w:pPr>
        <w:pStyle w:val="ListParagraph"/>
        <w:numPr>
          <w:ilvl w:val="0"/>
          <w:numId w:val="2"/>
        </w:numPr>
        <w:spacing w:after="60" w:line="300"/>
        <w:jc w:val="both"/>
      </w:pPr>
      <w:r>
        <w:t xml:space="preserve">Crossref: tra cứu DOI và metadata bài báo (tùy chọn).</w:t>
      </w:r>
    </w:p>
    <w:p>
      <w:pPr>
        <w:pStyle w:val="ListParagraph"/>
        <w:numPr>
          <w:ilvl w:val="0"/>
          <w:numId w:val="2"/>
        </w:numPr>
        <w:spacing w:after="60" w:line="300"/>
        <w:jc w:val="both"/>
      </w:pPr>
      <w:r>
        <w:t xml:space="preserve">Email/SMTP: gửi thông báo quy trình (tùy chọn).</w:t>
      </w:r>
    </w:p>
    <w:p>
      <w:pPr>
        <w:pStyle w:val="ListParagraph"/>
        <w:numPr>
          <w:ilvl w:val="0"/>
          <w:numId w:val="2"/>
        </w:numPr>
        <w:spacing w:after="60" w:line="300"/>
        <w:jc w:val="both"/>
      </w:pPr>
      <w:r>
        <w:t xml:space="preserve">Lưu trữ tệp: hệ thống tệp nội bộ hoặc MinIO/S3.</w:t>
      </w:r>
    </w:p>
    <w:p>
      <w:pPr>
        <w:pStyle w:val="ListParagraph"/>
        <w:numPr>
          <w:ilvl w:val="0"/>
          <w:numId w:val="2"/>
        </w:numPr>
        <w:spacing w:after="60" w:line="300"/>
        <w:jc w:val="both"/>
      </w:pPr>
      <w:r>
        <w:t xml:space="preserve">Redis: giới hạn tần suất và bộ nhớ đệm (có phương án thay thế trong bộ nhớ).</w:t>
      </w:r>
    </w:p>
    <w:p>
      <w:pPr>
        <w:pStyle w:val="Heading2"/>
      </w:pPr>
      <w:r>
        <w:t xml:space="preserve">5.2. Giao diện người dùng</w:t>
      </w:r>
    </w:p>
    <w:p>
      <w:pPr>
        <w:pStyle w:val="ListParagraph"/>
        <w:numPr>
          <w:ilvl w:val="0"/>
          <w:numId w:val="2"/>
        </w:numPr>
        <w:spacing w:after="60" w:line="300"/>
        <w:jc w:val="both"/>
      </w:pPr>
      <w:r>
        <w:t xml:space="preserve">Giao diện tiếng Việt, áp dụng bộ nhận diện NTQS (màu xanh quân sự, vàng đồng).</w:t>
      </w:r>
    </w:p>
    <w:p>
      <w:pPr>
        <w:pStyle w:val="ListParagraph"/>
        <w:numPr>
          <w:ilvl w:val="0"/>
          <w:numId w:val="2"/>
        </w:numPr>
        <w:spacing w:after="60" w:line="300"/>
        <w:jc w:val="both"/>
      </w:pPr>
      <w:r>
        <w:t xml:space="preserve">Mỗi vai trò có bảng điều khiển riêng; nút hành động hiển thị theo quyền.</w:t>
      </w:r>
    </w:p>
    <w:sectPr>
      <w:headerReference w:type="default" r:id="rId7"/>
      <w:headerReference w:type="first" r:id="rId8"/>
      <w:footerReference w:type="default" r:id="rId9"/>
      <w:footerReference w:type="first" r:id="rId10"/>
      <w:pgSz w:w="11906" w:h="16838" w:orient="portrait"/>
      <w:pgMar w:top="1134" w:right="1134"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A" w:sz="6" w:space="2"/>
      </w:pBdr>
      <w:tabs>
        <w:tab w:val="center" w:pos="4677"/>
        <w:tab w:val="right" w:pos="9354"/>
      </w:tabs>
      <w:spacing w:before="40"/>
    </w:pPr>
    <w:r>
      <w:rPr>
        <w:color w:val="777777"/>
        <w:sz w:val="17"/>
        <w:szCs w:val="17"/>
      </w:rPr>
      <w:t xml:space="preserve">NTQS-NT-02</w:t>
    </w:r>
    <w:r>
      <w:rPr>
        <w:color w:val="777777"/>
        <w:sz w:val="17"/>
        <w:szCs w:val="17"/>
      </w:rPr>
      <w:t xml:space="preserve">	Hồ sơ nghiệm thu — Lưu hành nội bộ</w:t>
    </w:r>
    <w:r>
      <w:rPr>
        <w:color w:val="777777"/>
        <w:sz w:val="17"/>
        <w:szCs w:val="17"/>
      </w:rPr>
      <w:t xml:space="preserve">	Trang </w:t>
    </w:r>
    <w:r>
      <w:rPr>
        <w:color w:val="777777"/>
        <w:sz w:val="17"/>
        <w:szCs w:val="17"/>
      </w:rPr>
      <w:fldChar w:fldCharType="begin"/>
      <w:instrText xml:space="preserve">PAGE</w:instrText>
      <w:fldChar w:fldCharType="separate"/>
      <w:fldChar w:fldCharType="end"/>
    </w:r>
    <w:r>
      <w:rPr>
        <w:color w:val="777777"/>
        <w:sz w:val="17"/>
        <w:szCs w:val="17"/>
      </w:rPr>
      <w:t xml:space="preserve">/</w:t>
    </w:r>
    <w:r>
      <w:rPr>
        <w:color w:val="777777"/>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02A" w:sz="6" w:space="2"/>
      </w:pBdr>
      <w:tabs>
        <w:tab w:val="right" w:pos="9354"/>
      </w:tabs>
      <w:spacing w:after="60"/>
    </w:pPr>
    <w:r>
      <w:rPr>
        <w:b/>
        <w:bCs/>
        <w:color w:val="1E3924"/>
        <w:sz w:val="18"/>
        <w:szCs w:val="18"/>
      </w:rPr>
      <w:t xml:space="preserve">Tạp chí Nghệ thuật Quân sự Việt Nam</w:t>
    </w:r>
    <w:r>
      <w:rPr>
        <w:i/>
        <w:iCs/>
        <w:color w:val="555555"/>
        <w:sz w:val="18"/>
        <w:szCs w:val="18"/>
      </w:rPr>
      <w:t xml:space="preserve">	Đặc tả yêu cầu phần mềm (SRS)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E3924"/>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aps/>
      <w:color w:val="1E392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E3924"/>
      <w:sz w:val="27"/>
      <w:szCs w:val="27"/>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305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c516d18e743138cf7538b2162c066de6fbb99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2026-06-28T13:09:15.701Z</dcterms:created>
  <dcterms:modified xsi:type="dcterms:W3CDTF">2026-06-28T13:09:15.701Z</dcterms:modified>
</cp:coreProperties>
</file>

<file path=docProps/custom.xml><?xml version="1.0" encoding="utf-8"?>
<Properties xmlns="http://schemas.openxmlformats.org/officeDocument/2006/custom-properties" xmlns:vt="http://schemas.openxmlformats.org/officeDocument/2006/docPropsVTypes"/>
</file>