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20"/>
        <w:jc w:val="center"/>
      </w:pPr>
      <w:r>
        <w:rPr>
          <w:rFonts w:ascii="Times New Roman" w:cs="Times New Roman" w:eastAsia="Times New Roman" w:hAnsi="Times New Roman"/>
          <w:b/>
          <w:bCs/>
          <w:sz w:val="26"/>
          <w:szCs w:val="26"/>
        </w:rPr>
        <w:t xml:space="preserve">HỌC VIỆN QUỐC PHÒNG</w:t>
      </w:r>
    </w:p>
    <w:p>
      <w:pPr>
        <w:spacing w:after="20"/>
        <w:jc w:val="center"/>
      </w:pPr>
      <w:r>
        <w:rPr>
          <w:rFonts w:ascii="Times New Roman" w:cs="Times New Roman" w:eastAsia="Times New Roman" w:hAnsi="Times New Roman"/>
          <w:b/>
          <w:bCs/>
          <w:color w:val="1E3924"/>
          <w:sz w:val="28"/>
          <w:szCs w:val="28"/>
        </w:rPr>
        <w:t xml:space="preserve">TẠP CHÍ NGHỆ THUẬT QUÂN SỰ VIỆT NAM</w:t>
      </w:r>
    </w:p>
    <w:p>
      <w:pPr>
        <w:spacing w:after="60"/>
        <w:jc w:val="center"/>
      </w:pPr>
      <w:r>
        <w:rPr>
          <w:rFonts w:ascii="Times New Roman" w:cs="Times New Roman" w:eastAsia="Times New Roman" w:hAnsi="Times New Roman"/>
          <w:i/>
          <w:iCs/>
          <w:color w:val="555555"/>
          <w:sz w:val="22"/>
          <w:szCs w:val="22"/>
        </w:rPr>
        <w:t xml:space="preserve">Journal of Vietnamese Military Art</w:t>
      </w:r>
    </w:p>
    <w:p>
      <w:pPr>
        <w:spacing w:after="120"/>
        <w:jc w:val="center"/>
      </w:pPr>
      <w:r>
        <w:drawing>
          <wp:inline distT="0" distB="0" distL="0" distR="0">
            <wp:extent cx="914400" cy="1104900"/>
            <wp:effectExtent t="0" r="0" b="0" l="0"/>
            <wp:docPr id="1" name="logoHVQP" descr="Huy hiệu Học viện Quốc phòng" title="Logo HV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1104900"/>
                    </a:xfrm>
                    <a:prstGeom prst="rect">
                      <a:avLst/>
                    </a:prstGeom>
                  </pic:spPr>
                </pic:pic>
              </a:graphicData>
            </a:graphic>
          </wp:inline>
        </w:drawing>
      </w:r>
    </w:p>
    <w:p>
      <w:pPr>
        <w:pBdr>
          <w:bottom w:val="single" w:color="B8902A" w:sz="14" w:space="1"/>
        </w:pBdr>
        <w:spacing w:after="360"/>
      </w:pPr>
      <w:r>
        <w:t xml:space="preserve"/>
      </w:r>
    </w:p>
    <w:p>
      <w:pPr>
        <w:spacing w:after="240"/>
      </w:pPr>
      <w:r>
        <w:t xml:space="preserve"/>
      </w:r>
    </w:p>
    <w:p>
      <w:pPr>
        <w:spacing w:after="40"/>
        <w:jc w:val="center"/>
      </w:pPr>
      <w:r>
        <w:rPr>
          <w:rFonts w:ascii="Times New Roman" w:cs="Times New Roman" w:eastAsia="Times New Roman" w:hAnsi="Times New Roman"/>
          <w:b/>
          <w:bCs/>
          <w:color w:val="1E3924"/>
          <w:sz w:val="30"/>
          <w:szCs w:val="30"/>
        </w:rPr>
        <w:t xml:space="preserve">HỒ SƠ NGHIỆM THU DỰ ÁN PHẦN MỀM</w:t>
      </w:r>
    </w:p>
    <w:p>
      <w:pPr>
        <w:spacing w:after="360"/>
        <w:jc w:val="center"/>
      </w:pPr>
      <w:r>
        <w:rPr>
          <w:rFonts w:ascii="Times New Roman" w:cs="Times New Roman" w:eastAsia="Times New Roman" w:hAnsi="Times New Roman"/>
          <w:b/>
          <w:bCs/>
          <w:sz w:val="26"/>
          <w:szCs w:val="26"/>
        </w:rPr>
        <w:t xml:space="preserve">TẠP CHÍ ĐIỆN TỬ NGHỆ THUẬT QUÂN SỰ VIỆT NAM</w:t>
      </w:r>
    </w:p>
    <w:p>
      <w:pPr>
        <w:spacing w:after="200"/>
      </w:pPr>
      <w:r>
        <w:t xml:space="preserve"/>
      </w:r>
    </w:p>
    <w:p>
      <w:pPr>
        <w:spacing w:after="40"/>
        <w:jc w:val="center"/>
      </w:pPr>
      <w:r>
        <w:rPr>
          <w:rFonts w:ascii="Times New Roman" w:cs="Times New Roman" w:eastAsia="Times New Roman" w:hAnsi="Times New Roman"/>
          <w:color w:val="555555"/>
          <w:sz w:val="24"/>
          <w:szCs w:val="24"/>
        </w:rPr>
        <w:t xml:space="preserve">TÀI LIỆU</w:t>
      </w:r>
    </w:p>
    <w:p>
      <w:pPr>
        <w:spacing w:after="40"/>
        <w:jc w:val="center"/>
      </w:pPr>
      <w:r>
        <w:rPr>
          <w:rFonts w:ascii="Times New Roman" w:cs="Times New Roman" w:eastAsia="Times New Roman" w:hAnsi="Times New Roman"/>
          <w:b/>
          <w:bCs/>
          <w:color w:val="1E3924"/>
          <w:sz w:val="34"/>
          <w:szCs w:val="34"/>
        </w:rPr>
        <w:t xml:space="preserve">MA TRẬN TRUY VẾT YÊU CẦU</w:t>
      </w:r>
    </w:p>
    <w:p>
      <w:pPr>
        <w:spacing w:after="200"/>
        <w:jc w:val="center"/>
      </w:pPr>
      <w:r>
        <w:rPr>
          <w:rFonts w:ascii="Times New Roman" w:cs="Times New Roman" w:eastAsia="Times New Roman" w:hAnsi="Times New Roman"/>
          <w:i/>
          <w:iCs/>
          <w:color w:val="555555"/>
          <w:sz w:val="24"/>
          <w:szCs w:val="24"/>
        </w:rPr>
        <w:t xml:space="preserve">Requirements Traceability Matrix (RTM)</w:t>
      </w:r>
    </w:p>
    <w:p>
      <w:pPr>
        <w:spacing w:after="300"/>
      </w:pPr>
      <w:r>
        <w:t xml:space="preserve"/>
      </w:r>
    </w:p>
    <w:p>
      <w:pPr>
        <w:jc w:val="center"/>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Mã hiệu tài liệu</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NTQS-NT-05</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Phiên bản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1.0</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Cấp độ</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hành nội bộ</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Đơn vị chủ quản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Học viện Quốc phòng</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Chủ đầu tư / Tòa soạn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Tạp chí Nghệ thuật Quân sự Việt Nam</w:t>
            </w:r>
          </w:p>
        </w:tc>
      </w:tr>
    </w:tbl>
    <w:p>
      <w:pPr>
        <w:spacing w:after="360"/>
      </w:pPr>
      <w:r>
        <w:t xml:space="preserve"/>
      </w:r>
    </w:p>
    <w:p>
      <w:pPr>
        <w:spacing w:after="0"/>
        <w:jc w:val="center"/>
      </w:pPr>
      <w:r>
        <w:rPr>
          <w:rFonts w:ascii="Times New Roman" w:cs="Times New Roman" w:eastAsia="Times New Roman" w:hAnsi="Times New Roman"/>
          <w:b/>
          <w:bCs/>
          <w:sz w:val="24"/>
          <w:szCs w:val="24"/>
        </w:rPr>
        <w:t xml:space="preserve">HÀ NỘI, NĂM 2026</w:t>
      </w:r>
    </w:p>
    <w:p>
      <w:r>
        <w:br w:type="page"/>
      </w:r>
    </w:p>
    <w:p>
      <w:pPr>
        <w:spacing w:after="200"/>
        <w:jc w:val="center"/>
      </w:pPr>
      <w:r>
        <w:rPr>
          <w:b/>
          <w:bCs/>
          <w:caps/>
          <w:color w:val="1E392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Mục đích</w:t>
      </w:r>
    </w:p>
    <w:p>
      <w:pPr>
        <w:spacing w:after="120" w:line="312"/>
        <w:jc w:val="both"/>
      </w:pPr>
      <w:r>
        <w:t xml:space="preserve">Ma trận truy vết yêu cầu (Requirements Traceability Matrix – RTM) thiết lập mối liên hệ hai chiều giữa yêu cầu chức năng (FR) với tài liệu thiết kế tương ứng và bằng chứng kiểm thử, nhằm bảo đảm mọi yêu cầu đều được thiết kế và kiểm chứng, không bỏ sót.</w:t>
      </w:r>
    </w:p>
    <w:p>
      <w:pPr>
        <w:pStyle w:val="Heading1"/>
      </w:pPr>
      <w:r>
        <w:t xml:space="preserve">2. Quy ước</w:t>
      </w:r>
    </w:p>
    <w:p>
      <w:pPr>
        <w:pStyle w:val="ListParagraph"/>
        <w:numPr>
          <w:ilvl w:val="0"/>
          <w:numId w:val="2"/>
        </w:numPr>
        <w:spacing w:after="60" w:line="300"/>
        <w:jc w:val="both"/>
      </w:pPr>
      <w:r>
        <w:t xml:space="preserve">Cột “Mã FR”: mã yêu cầu chức năng theo tài liệu SRS (NTQS-NT-02).</w:t>
      </w:r>
    </w:p>
    <w:p>
      <w:pPr>
        <w:pStyle w:val="ListParagraph"/>
        <w:numPr>
          <w:ilvl w:val="0"/>
          <w:numId w:val="2"/>
        </w:numPr>
        <w:spacing w:after="60" w:line="300"/>
        <w:jc w:val="both"/>
      </w:pPr>
      <w:r>
        <w:t xml:space="preserve">Cột “Thiết kế”: tham chiếu mục tài liệu thiết kế (NT-03/NT-04) và/hoặc thành phần mã nguồn hiện thực.</w:t>
      </w:r>
    </w:p>
    <w:p>
      <w:pPr>
        <w:pStyle w:val="ListParagraph"/>
        <w:numPr>
          <w:ilvl w:val="0"/>
          <w:numId w:val="2"/>
        </w:numPr>
        <w:spacing w:after="60" w:line="300"/>
        <w:jc w:val="both"/>
      </w:pPr>
      <w:r>
        <w:t xml:space="preserve">Cột “Bằng chứng kiểm thử”: tên bộ kiểm thử tự động (Jest) hoặc kịch bản kiểm thử thủ công (chi tiết tại NTQS-NT-06).</w:t>
      </w:r>
    </w:p>
    <w:p>
      <w:pPr>
        <w:pStyle w:val="ListParagraph"/>
        <w:numPr>
          <w:ilvl w:val="0"/>
          <w:numId w:val="2"/>
        </w:numPr>
        <w:spacing w:after="60" w:line="300"/>
        <w:jc w:val="both"/>
      </w:pPr>
      <w:r>
        <w:t xml:space="preserve">Cột “Trạng thái”: kết quả truy vết — “Đạt” hoặc “Đạt (tùy chọn)” đối với tính năng phụ thuộc Internet.</w:t>
      </w:r>
    </w:p>
    <w:p>
      <w:pPr>
        <w:pStyle w:val="Heading1"/>
      </w:pPr>
      <w:r>
        <w:t xml:space="preserve">3. Tổng hợp</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4000"/>
      </w:tblGrid>
      <w:tr>
        <w:trPr>
          <w:tblHeader/>
        </w:trPr>
        <w:tc>
          <w:tcPr>
            <w:tcW w:type="dxa" w:w="53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Chỉ tiêu</w:t>
            </w:r>
          </w:p>
        </w:tc>
        <w:tc>
          <w:tcPr>
            <w:tcW w:type="dxa" w:w="40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Giá trị</w:t>
            </w:r>
          </w:p>
        </w:tc>
      </w:tr>
      <w:tr>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Tổng số yêu cầu chức năng</w:t>
            </w:r>
          </w:p>
        </w:tc>
        <w:tc>
          <w:tcPr>
            <w:tcW w:type="dxa" w:w="4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43</w:t>
            </w:r>
          </w:p>
        </w:tc>
      </w:tr>
      <w:tr>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Số yêu cầu có liên kết thiết kế</w:t>
            </w:r>
          </w:p>
        </w:tc>
        <w:tc>
          <w:tcPr>
            <w:tcW w:type="dxa" w:w="4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43</w:t>
            </w:r>
          </w:p>
        </w:tc>
      </w:tr>
      <w:tr>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Số yêu cầu có bằng chứng kiểm thử</w:t>
            </w:r>
          </w:p>
        </w:tc>
        <w:tc>
          <w:tcPr>
            <w:tcW w:type="dxa" w:w="4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43</w:t>
            </w:r>
          </w:p>
        </w:tc>
      </w:tr>
      <w:tr>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Số yêu cầu đạt</w:t>
            </w:r>
          </w:p>
        </w:tc>
        <w:tc>
          <w:tcPr>
            <w:tcW w:type="dxa" w:w="4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43/43</w:t>
            </w:r>
          </w:p>
        </w:tc>
      </w:tr>
    </w:tbl>
    <w:p>
      <w:pPr>
        <w:spacing w:after="120"/>
      </w:pPr>
      <w:r>
        <w:t xml:space="preserve"/>
      </w:r>
    </w:p>
    <w:p>
      <w:pPr>
        <w:pStyle w:val="Heading1"/>
      </w:pPr>
      <w:r>
        <w:t xml:space="preserve">4. Ma trận truy vết chi tiết</w:t>
      </w:r>
    </w:p>
    <w:p>
      <w:pPr>
        <w:pStyle w:val="Heading3"/>
      </w:pPr>
      <w:r>
        <w:t xml:space="preserve">PH01. Xác thực và phân quyền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FR-AUTH-01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Đăng nhập bảo mật</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§2; lib/auth.ts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rbac.test.ts; smoke:roles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FR-AUTH-02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Xác thực hai lớp (2FA)</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NT-04 §3; lib/two-factor.ts</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Kịch bản 2FA (thủ công)</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FR-AUTH-03</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Phân quyền theo vai trò (RBAC)</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§2; lib/rbac.ts, middleware.ts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rbac.test.ts; cms-rbac-routes.test.ts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FR-AUTH-04</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Kiểm soát phạm vi dữ liệu</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§2; lib/editor-scope.ts</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editor-scope.test.ts; submission-list-scope-route.test.ts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PH02. Quản lý người dùng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FR-USER-01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Đăng ký và phê duyệt tài khoản</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§3; app/api/admin/users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smoke:roles; verify:roles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FR-USER-02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lý hồ sơ và đổi mật khẩu</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§3; app/api/auth</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Kịch bản người dùng (thủ công)</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FR-USER-03</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Liên kết hồ sơ ORCID</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§6; lib/integrations/orcid.ts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Kịch bản tích hợp (tùy chọn)</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 (tùy chọn)</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FR-USER-04</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Yêu cầu nâng quyền có kiểm soát</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§3; RoleEscalationRequest</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smoke:roles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PH03. Nộp bài và quản lý bản thảo</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FR-SUB-01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Gửi bản thảo</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app/api/submissions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submission-create-route.test.ts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FR-SUB-02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lý phiên bản bản thảo</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§4; SubmissionVersion</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revision-resubmit-service.test.ts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FR-SUB-03</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Phản hồi và sửa bản thảo</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lib/submission-status.ts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revision-resubmit-service.test.ts; submission-comments-route.test.ts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PH04. Phản biện khoa học</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FR-REV-01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Phân công phản biện</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app/api/submissions/[id]/assign-reviewers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assign-reviewers-route.test.ts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FR-REV-02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Gợi ý phản biện bằng AI</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§4; lib/ai (match reviewers)</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Kịch bản gợi ý (thủ công)</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FR-REV-03</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Nộp phiếu phản biện</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lib/review-status.ts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review-respond-route.test.ts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FR-REV-04</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Phản biện kín hai chiều</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NT-04 §4; lib/chat-guard.ts</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Kịch bản phản biện kín (thủ công)</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PH05. Biên tập và quy trình xét duyệt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FR-EDT-01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Vòng đời bản thảo</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lib/workflow.ts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workflow.test.ts; workflow-route.test.ts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FR-EDT-02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Quyết định biên tập</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§4; app/api/.../decision</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decision-route.test.ts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FR-EDT-03</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Phân công biên tập viên chuyên mục</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app/api/.../assign-editor</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assign-editor-route.test.ts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PH06. Dàn trang và sản xuất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FR-PRD-01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Biên tập chế bản</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Copyedit</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Kịch bản chế bản (thủ công)</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FR-PRD-02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Dàn trang và phê duyệt sản xuất</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§4; Production</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production-publish-route.test.ts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PH07. Xuất bản số và tập tạp chí</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FR-PUB-01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lý tập và số tạp chí</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Issue/Volume</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issue-utils; Kịch bản số (thủ công)</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FR-PUB-02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Xuất bản số/bài</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§4; app/api/.../publish</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production-publish-route.test.ts; cms-publish-rbac.test.ts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FR-PUB-03</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Cổng đọc công khai</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§5; app/(public)</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public-visibility.test.ts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PH08. Kho lưu trữ và thư viện số</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FR-REP-01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Kho bài báo toàn văn</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JournalArticle, repository</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Kịch bản kho (thủ công)</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FR-REP-02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Thư viện đọc số (EPUB)</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§4; lib (epub)</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journal-epub.test.ts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FR-REP-03</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Nhập liệu PDF/OCR</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lib/ocr, journal:ingest</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journal-toc-parser.test.ts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PH09. Phát hiện đạo văn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FR-PLG-01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Kiểm tra đạo văn</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lib/plagiarism</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plagiarism-scoring.test.ts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FR-PLG-02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Báo cáo đạo văn</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§4; app/api/plagiarism</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plagiarism-scoring.test.ts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PH10. Quản trị nội dung công khai (CMS)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FR-CMS-01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trị trang công khai</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§5; PublicPage, PageBlock</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public-page-versions.test.ts; cms-rbac-routes.test.ts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FR-CMS-02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trị điều hướng và banner</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§5; Navigation, Banner</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cms-rbac-routes.test.ts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PH11. Đa phương tiện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FR-MED-01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lý video</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app/api/videos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video-chunked-upload-service.test.ts; youtube-util.test.ts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FR-MED-02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lý podcast và media</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§4; Podcast, Media</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podcast-public-visibility.test.ts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PH12. Thu thập nội dung web</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FR-CRW-01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Thu thập và kiểm duyệt nội dung web</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WebSource, CrawlJob</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Kịch bản thu thập (thủ công)</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PH13. Thống kê và báo cáo</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FR-STA-01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Bảng điều khiển theo vai trò</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§5; lib/role-dashboard.ts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verify:roles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FR-STA-02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Thống kê quy trình và hiệu suất</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§5; app/api/statistics</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Kịch bản thống kê (thủ công)</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FR-STA-03</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Báo cáo công bố</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§5; lib/services (publication-report)</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publication-report.test.ts</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PH14. Thông báo và nhắc hạn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FR-NOT-01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lý thời hạn quy trình</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§4; lib/sla-manager.ts, Deadline</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Kịch bản SLA (thủ công)</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FR-NOT-02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Thông báo qua email và đẩy</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§6; lib/email.ts, cron</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Kịch bản thông báo (thủ công)</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PH15. Tích hợp hệ thống ngoài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FR-INT-01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Tích hợp ORCID/Crossref</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§6; lib/integrations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Kịch bản tích hợp (tùy chọn)</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 (tùy chọn)</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FR-INT-02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Lưu trữ tệp và bộ nhớ đệm</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NT-03 §6; lib/s3.ts, lib/rate-limiter.ts</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media-upload-security.test.ts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3"/>
      </w:pPr>
      <w:r>
        <w:t xml:space="preserve">PH16. Quản trị hệ thống và kiểm toán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50"/>
        <w:gridCol w:w="1950"/>
        <w:gridCol w:w="1900"/>
        <w:gridCol w:w="3204"/>
        <w:gridCol w:w="1150"/>
      </w:tblGrid>
      <w:tr>
        <w:trPr>
          <w:tblHeader/>
        </w:trPr>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 FR</w:t>
            </w:r>
          </w:p>
        </w:tc>
        <w:tc>
          <w:tcPr>
            <w:tcW w:type="dxa" w:w="19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Yêu cầu</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c>
          <w:tcPr>
            <w:tcW w:type="dxa" w:w="32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Bằng chứng kiểm thử</w:t>
            </w:r>
          </w:p>
        </w:tc>
        <w:tc>
          <w:tcPr>
            <w:tcW w:type="dxa" w:w="11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Trạng thái</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FR-ADM-01</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Nhật ký kiểm toán</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NT-04 §5; lib/audit-logger.ts</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Kịch bản kiểm toán (thủ công)</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FR-ADM-02</w:t>
            </w:r>
          </w:p>
        </w:tc>
        <w:tc>
          <w:tcPr>
            <w:tcW w:type="dxa" w:w="19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lý phiên và cảnh báo an ninh</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NT-04 §5; UserSession, SecurityAlert</w:t>
            </w:r>
          </w:p>
        </w:tc>
        <w:tc>
          <w:tcPr>
            <w:tcW w:type="dxa" w:w="32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smoke:roles</w:t>
            </w:r>
          </w:p>
        </w:tc>
        <w:tc>
          <w:tcPr>
            <w:tcW w:type="dxa" w:w="11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r>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FR-ADM-03</w:t>
            </w:r>
          </w:p>
        </w:tc>
        <w:tc>
          <w:tcPr>
            <w:tcW w:type="dxa" w:w="19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Cấu hình hệ thống</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NT-03 §5; SiteSetting, UIConfig</w:t>
            </w:r>
          </w:p>
        </w:tc>
        <w:tc>
          <w:tcPr>
            <w:tcW w:type="dxa" w:w="32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Kịch bản cấu hình (thủ công)</w:t>
            </w:r>
          </w:p>
        </w:tc>
        <w:tc>
          <w:tcPr>
            <w:tcW w:type="dxa" w:w="11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Đạt</w:t>
            </w:r>
          </w:p>
        </w:tc>
      </w:tr>
    </w:tbl>
    <w:p>
      <w:pPr>
        <w:spacing w:after="80"/>
      </w:pPr>
      <w:r>
        <w:t xml:space="preserve"/>
      </w:r>
    </w:p>
    <w:p>
      <w:pPr>
        <w:pStyle w:val="Heading1"/>
      </w:pPr>
      <w:r>
        <w:t xml:space="preserve">5. Ghi chú</w:t>
      </w:r>
    </w:p>
    <w:p>
      <w:pPr>
        <w:pStyle w:val="ListParagraph"/>
        <w:numPr>
          <w:ilvl w:val="0"/>
          <w:numId w:val="2"/>
        </w:numPr>
        <w:spacing w:after="60" w:line="300"/>
        <w:jc w:val="both"/>
      </w:pPr>
      <w:r>
        <w:t xml:space="preserve">Các bộ kiểm thử tự động được liệt kê nằm trong thư mục tests/unit của mã nguồn; chạy bằng lệnh npm test.</w:t>
      </w:r>
    </w:p>
    <w:p>
      <w:pPr>
        <w:pStyle w:val="ListParagraph"/>
        <w:numPr>
          <w:ilvl w:val="0"/>
          <w:numId w:val="2"/>
        </w:numPr>
        <w:spacing w:after="60" w:line="300"/>
        <w:jc w:val="both"/>
      </w:pPr>
      <w:r>
        <w:t xml:space="preserve">Kịch bản thủ công đánh dấu “(thủ công)” được mô tả trong tài liệu Kế hoạch và kết quả kiểm thử (NTQS-NT-06).</w:t>
      </w:r>
    </w:p>
    <w:p>
      <w:pPr>
        <w:pStyle w:val="ListParagraph"/>
        <w:numPr>
          <w:ilvl w:val="0"/>
          <w:numId w:val="2"/>
        </w:numPr>
        <w:spacing w:after="60" w:line="300"/>
        <w:jc w:val="both"/>
      </w:pPr>
      <w:r>
        <w:t xml:space="preserve">Yêu cầu “Đạt (tùy chọn)” phụ thuộc dịch vụ Internet, được kiểm chứng khi môi trường cho phép.</w:t>
      </w:r>
    </w:p>
    <w:sectPr>
      <w:headerReference w:type="default" r:id="rId7"/>
      <w:headerReference w:type="first" r:id="rId8"/>
      <w:footerReference w:type="default" r:id="rId9"/>
      <w:footerReference w:type="first" r:id="rId10"/>
      <w:pgSz w:w="11906" w:h="16838" w:orient="portrait"/>
      <w:pgMar w:top="1134" w:right="1134" w:bottom="1134"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A" w:sz="6" w:space="2"/>
      </w:pBdr>
      <w:tabs>
        <w:tab w:val="center" w:pos="4677"/>
        <w:tab w:val="right" w:pos="9354"/>
      </w:tabs>
      <w:spacing w:before="40"/>
    </w:pPr>
    <w:r>
      <w:rPr>
        <w:color w:val="777777"/>
        <w:sz w:val="17"/>
        <w:szCs w:val="17"/>
      </w:rPr>
      <w:t xml:space="preserve">NTQS-NT-05</w:t>
    </w:r>
    <w:r>
      <w:rPr>
        <w:color w:val="777777"/>
        <w:sz w:val="17"/>
        <w:szCs w:val="17"/>
      </w:rPr>
      <w:t xml:space="preserve">	Hồ sơ nghiệm thu — Lưu hành nội bộ</w:t>
    </w:r>
    <w:r>
      <w:rPr>
        <w:color w:val="777777"/>
        <w:sz w:val="17"/>
        <w:szCs w:val="17"/>
      </w:rPr>
      <w:t xml:space="preserve">	Trang </w:t>
    </w:r>
    <w:r>
      <w:rPr>
        <w:color w:val="777777"/>
        <w:sz w:val="17"/>
        <w:szCs w:val="17"/>
      </w:rPr>
      <w:fldChar w:fldCharType="begin"/>
      <w:instrText xml:space="preserve">PAGE</w:instrText>
      <w:fldChar w:fldCharType="separate"/>
      <w:fldChar w:fldCharType="end"/>
    </w:r>
    <w:r>
      <w:rPr>
        <w:color w:val="777777"/>
        <w:sz w:val="17"/>
        <w:szCs w:val="17"/>
      </w:rPr>
      <w:t xml:space="preserve">/</w:t>
    </w:r>
    <w:r>
      <w:rPr>
        <w:color w:val="777777"/>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02A" w:sz="6" w:space="2"/>
      </w:pBdr>
      <w:tabs>
        <w:tab w:val="right" w:pos="9354"/>
      </w:tabs>
      <w:spacing w:after="60"/>
    </w:pPr>
    <w:r>
      <w:rPr>
        <w:b/>
        <w:bCs/>
        <w:color w:val="1E3924"/>
        <w:sz w:val="18"/>
        <w:szCs w:val="18"/>
      </w:rPr>
      <w:t xml:space="preserve">Tạp chí Nghệ thuật Quân sự Việt Nam</w:t>
    </w:r>
    <w:r>
      <w:rPr>
        <w:i/>
        <w:iCs/>
        <w:color w:val="555555"/>
        <w:sz w:val="18"/>
        <w:szCs w:val="18"/>
      </w:rPr>
      <w:t xml:space="preserve">	Ma trận truy vết yêu cầu (RTM)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E3924"/>
      </w:r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Times New Roman" w:cs="Times New Roman" w:eastAsia="Times New Roman" w:hAnsi="Times New Roman"/>
      <w:b/>
      <w:bCs/>
      <w:caps/>
      <w:color w:val="1E3924"/>
      <w:sz w:val="30"/>
      <w:szCs w:val="30"/>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color w:val="1E3924"/>
      <w:sz w:val="27"/>
      <w:szCs w:val="27"/>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color w:val="3054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c516d18e743138cf7538b2162c066de6fbb996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2026-06-28T13:06:44.419Z</dcterms:created>
  <dcterms:modified xsi:type="dcterms:W3CDTF">2026-06-28T13:06:44.419Z</dcterms:modified>
</cp:coreProperties>
</file>

<file path=docProps/custom.xml><?xml version="1.0" encoding="utf-8"?>
<Properties xmlns="http://schemas.openxmlformats.org/officeDocument/2006/custom-properties" xmlns:vt="http://schemas.openxmlformats.org/officeDocument/2006/docPropsVTypes"/>
</file>