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HỌC VIỆN QUỐC PHÒNG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28"/>
          <w:szCs w:val="28"/>
        </w:rPr>
        <w:t xml:space="preserve">TẠP CHÍ NGHỆ THUẬT QUÂN SỰ VIỆT 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Journal of Vietnamese Military Art</w:t>
      </w:r>
    </w:p>
    <w:p>
      <w:pPr>
        <w:spacing w:after="120"/>
        <w:jc w:val="center"/>
      </w:pPr>
      <w:r>
        <w:drawing>
          <wp:inline distT="0" distB="0" distL="0" distR="0">
            <wp:extent cx="914400" cy="1104900"/>
            <wp:effectExtent t="0" r="0" b="0" l="0"/>
            <wp:docPr id="1" name="logoHVQP" descr="Huy hiệu Học viện Quốc phòng" title="Logo HVQ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8902A" w:sz="14" w:space="1"/>
        </w:pBdr>
        <w:spacing w:after="36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30"/>
          <w:szCs w:val="30"/>
        </w:rPr>
        <w:t xml:space="preserve">HỒ SƠ NGHIỆM THU DỰ ÁN PHẦN MỀM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TẠP CHÍ ĐIỆN TỬ NGHỆ THUẬT QUÂN SỰ VIỆT NAM</w:t>
      </w:r>
    </w:p>
    <w:p>
      <w:pP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TÀI LIỆU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E3924"/>
          <w:sz w:val="34"/>
          <w:szCs w:val="34"/>
        </w:rPr>
        <w:t xml:space="preserve">HƯỚNG DẪN QUẢN TRỊ VÀ SỬ DỤNG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Theo 11 vai trò nghiệp vụ</w:t>
      </w:r>
    </w:p>
    <w:p>
      <w:pPr>
        <w:spacing w:after="300"/>
      </w:pPr>
      <w:r>
        <w:t xml:space="preserve"/>
      </w:r>
    </w:p>
    <w:p>
      <w:pPr>
        <w:jc w:val="center"/>
      </w:pP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Mã hiệu tài liệu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NTQS-NT-08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Phiên bản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Cấp độ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Lưu hành nội bộ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Đơn vị chủ quản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Học viện Quốc phòng</w:t>
            </w:r>
          </w:p>
        </w:tc>
      </w:tr>
      <w:tr>
        <w:tc>
          <w:tcPr>
            <w:tcW w:type="dxa" w:w="26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E8EE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sz w:val="25"/>
                <w:szCs w:val="25"/>
              </w:rPr>
              <w:t xml:space="preserve">Chủ đầu tư / Tòa soạn</w:t>
            </w:r>
          </w:p>
        </w:tc>
        <w:tc>
          <w:tcPr>
            <w:tcW w:type="dxa" w:w="38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Tạp chí Nghệ thuật Quân sự Việt Nam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HÀ NỘI, NĂM 2026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aps/>
          <w:color w:val="1E392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Hướng dẫn chung</w:t>
      </w:r>
    </w:p>
    <w:p>
      <w:pPr>
        <w:pStyle w:val="Heading2"/>
      </w:pPr>
      <w:r>
        <w:t xml:space="preserve">1.1. Đăng nhập và xác thực hai lớp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Truy cập trang đăng nhập, nhập email và mật khẩu được cấp.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Nếu tài khoản bật 2FA: nhập mã TOTP (ứng dụng sinh mã) hoặc mã OTP gửi qua email.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Lần đầu nên đổi mật khẩu và thiết lập 2FA; cất giữ an toàn mã dự phòng.</w:t>
      </w:r>
    </w:p>
    <w:p>
      <w:pPr>
        <w:pStyle w:val="Heading2"/>
      </w:pPr>
      <w:r>
        <w:t xml:space="preserve">1.2. Bảng điều khiển theo vai trò</w:t>
      </w:r>
    </w:p>
    <w:p>
      <w:pPr>
        <w:spacing w:after="120" w:line="312"/>
        <w:jc w:val="both"/>
      </w:pPr>
      <w:r>
        <w:t xml:space="preserve">Sau khi đăng nhập, hệ thống tự điều hướng người dùng tới bảng điều khiển tương ứng với vai trò. Nút hành động hiển thị theo quyền của người dùng.</w:t>
      </w:r>
    </w:p>
    <w:p>
      <w:pPr>
        <w:pStyle w:val="Heading1"/>
      </w:pPr>
      <w:r>
        <w:t xml:space="preserve">2. Tổng quan vai trò và đường dẫn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354"/>
      </w:tblGrid>
      <w:tr>
        <w:trPr>
          <w:tblHeader/>
        </w:trP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Vai trò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Bảng điều khiển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Chức năng chính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Độc giả (READER)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Đọc bài toàn văn, tra cứu số/chuyên mục, thư viện đọc số, tải tài liệu công khai.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Tác giả (AUTHOR)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/dashboard/author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Gửi bản thảo, đính kèm tệp, theo dõi trạng thái, nộp bản sửa, trao đổi với biên tập.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Phản biện viên (REVIEWER)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/dashboard/reviewer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Nhận/từ chối phản biện, đọc bản thảo, nộp phiếu phản biện, lưu nháp, phản biện vòng 2.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BTV chuyên mục (SECTION_EDITOR)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/dashboard/editor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Sàng lọc bản thảo được phân công, phân công phản biện, đề xuất quyết định.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Thư ký tòa soạn (MANAGING_EDITOR)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/dashboard/managing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Điều phối quy trình, phân công biên tập viên, theo dõi tiến độ và thời hạn.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Phó Tổng biên tập (DEPUTY_EIC)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/dashboard/deputy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Giám sát biên tập, hỗ trợ quyết định (quyền xuất bản vẫn thuộc Tổng biên tập).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Tổng biên tập (EIC)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/dashboard/eic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Ra quyết định cuối cùng, phê duyệt và xuất bản số/bài.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BTV dàn trang (LAYOUT_EDITOR)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/dashboard/layout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Dàn trang, chuẩn bị bản xuất bản, xử lý hàng đợi sản xuất.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Quản trị hệ thống (SYSADMIN)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/dashboard/admin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Quản trị người dùng, cấu hình, CMS, danh mục, kiểm toán, tích hợp.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Kiểm định bảo mật (SECURITY_AUDITOR)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/dashboard/security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Giám sát nhật ký kiểm toán, cảnh báo an ninh, phiên đăng nhập.</w:t>
            </w:r>
          </w:p>
        </w:tc>
      </w:tr>
      <w:tr>
        <w:tc>
          <w:tcPr>
            <w:tcW w:type="dxa" w:w="29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Chỉ huy Học viện (COMMANDER)</w:t>
            </w:r>
          </w:p>
        </w:tc>
        <w:tc>
          <w:tcPr>
            <w:tcW w:type="dxa" w:w="21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/dashboard/commander</w:t>
            </w:r>
          </w:p>
        </w:tc>
        <w:tc>
          <w:tcPr>
            <w:tcW w:type="dxa" w:w="43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Xem báo cáo tổng hợp và chỉ số quản lý.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Quy trình nghiệp vụ xuất bản (tổng quan)</w:t>
      </w:r>
    </w:p>
    <w:p>
      <w:pPr>
        <w:spacing w:after="120" w:line="312"/>
        <w:jc w:val="both"/>
      </w:pPr>
      <w:r>
        <w:t xml:space="preserve">Một bản thảo đi qua các bước chính sau: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54"/>
      </w:tblGrid>
      <w:tr>
        <w:trPr>
          <w:tblHeader/>
        </w:trP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Bước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Vai trò chính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1E392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 xml:space="preserve">Hoạt động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1. Nộp bài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Tác giả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Gửi bản thảo, đính kèm tệp, chọn chuyên mục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2. Tiếp nhận &amp; phân công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Thư ký / BTV chuyên mục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Sàng lọc, kiểm tra đạo văn, phân công phản biện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3. Phản biện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Phản biện viên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Đánh giá, khuyến nghị (phản biện kín hai chiều)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4. Quyết định biên tập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BTV chuyên mục / Tổng biên tập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Chấp nhận / yêu cầu sửa / từ chối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5. Sửa &amp; hoàn thiện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Tác giả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Nộp bản sửa theo góp ý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6. Chế bản &amp; dàn trang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BTV dàn trang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shd w:fill="F1F4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Biên tập chế bản, dàn trang, tạo bản xuất bản</w:t>
            </w:r>
          </w:p>
        </w:tc>
      </w:tr>
      <w:tr>
        <w:tc>
          <w:tcPr>
            <w:tcW w:type="dxa" w:w="23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7. Xuất bản</w:t>
            </w:r>
          </w:p>
        </w:tc>
        <w:tc>
          <w:tcPr>
            <w:tcW w:type="dxa" w:w="3000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Tổng biên tập / Quản trị</w:t>
            </w:r>
          </w:p>
        </w:tc>
        <w:tc>
          <w:tcPr>
            <w:tcW w:type="dxa" w:w="4054"/>
            <w:tcBorders>
              <w:top w:val="single" w:color="B9C2BB" w:sz="4"/>
              <w:left w:val="single" w:color="B9C2BB" w:sz="4"/>
              <w:bottom w:val="single" w:color="B9C2BB" w:sz="4"/>
              <w:right w:val="single" w:color="B9C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5"/>
                <w:szCs w:val="25"/>
              </w:rPr>
              <w:t xml:space="preserve">Gắn bài vào số, công bố ra cổng công khai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Hướng dẫn quản trị hệ thống (SYSADMIN)</w:t>
      </w:r>
    </w:p>
    <w:p>
      <w:pPr>
        <w:pStyle w:val="Heading2"/>
      </w:pPr>
      <w:r>
        <w:t xml:space="preserve">4.1. Quản lý người dùng và phân quyền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Phê duyệt tài khoản đăng ký mới; khóa/mở tài khoản; đặt lại mật khẩu.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Gán vai trò; xử lý yêu cầu nâng quyền; theo dõi phiên đăng nhập.</w:t>
      </w:r>
    </w:p>
    <w:p>
      <w:pPr>
        <w:pStyle w:val="Heading2"/>
      </w:pPr>
      <w:r>
        <w:t xml:space="preserve">4.2. Cấu hình và nội dung công khai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Cấu hình thông tin tòa soạn (tên, ISSN, địa chỉ, email, điện thoại), danh mục chuyên mục.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Quản trị trang công khai, khối trang chủ, điều hướng (menu), banner, tin tức; xem trước nháp và lịch sử phiên bản.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Quản lý hiển thị giao diện (UIConfig).</w:t>
      </w:r>
    </w:p>
    <w:p>
      <w:pPr>
        <w:pStyle w:val="Heading2"/>
      </w:pPr>
      <w:r>
        <w:t xml:space="preserve">4.3. Kiểm toán và an ninh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Xem nhật ký kiểm toán theo thao tác nhạy cảm; xuất nhật ký.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Theo dõi cảnh báo an ninh và phiên bất thường (phối hợp vai trò Kiểm định bảo mật).</w:t>
      </w:r>
    </w:p>
    <w:p>
      <w:pPr>
        <w:pStyle w:val="Heading1"/>
      </w:pPr>
      <w:r>
        <w:t xml:space="preserve">5. Hướng dẫn vận hành theo vai trò biên tập</w:t>
      </w:r>
    </w:p>
    <w:p>
      <w:pPr>
        <w:pStyle w:val="Heading3"/>
      </w:pPr>
      <w:r>
        <w:t xml:space="preserve">5.1. Tác giả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Tạo bản thảo mới, điền thông tin, chọn chuyên mục, đính kèm tệp và gửi.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Theo dõi trạng thái; khi có yêu cầu sửa, tải góp ý, chỉnh sửa và nộp lại bản mới (giữ lịch sử phiên bản).</w:t>
      </w:r>
    </w:p>
    <w:p>
      <w:pPr>
        <w:pStyle w:val="Heading3"/>
      </w:pPr>
      <w:r>
        <w:t xml:space="preserve">5.2. Phản biện viên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Nhận hoặc từ chối lời mời phản biện; đọc bản thảo (ẩn danh tính tác giả nếu phản biện kín).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Nhập đánh giá, khuyến nghị; lưu nháp và nộp; có thể sửa cho tới khi có quyết định; hỗ trợ vòng phản biện 2.</w:t>
      </w:r>
    </w:p>
    <w:p>
      <w:pPr>
        <w:pStyle w:val="Heading3"/>
      </w:pPr>
      <w:r>
        <w:t xml:space="preserve">5.3. Biên tập viên chuyên mục / Thư ký tòa soạn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Sàng lọc bản thảo, chạy kiểm tra đạo văn, phân công phản biện phù hợp chuyên môn.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Theo dõi tiến độ, mốc thời hạn; tổng hợp ý kiến và đề xuất/ra quyết định biên tập.</w:t>
      </w:r>
    </w:p>
    <w:p>
      <w:pPr>
        <w:pStyle w:val="Heading3"/>
      </w:pPr>
      <w:r>
        <w:t xml:space="preserve">5.4. Tổng biên tập / Phó Tổng biên tập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Xem xét hồ sơ phản biện, ra quyết định cuối cùng.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Phê duyệt và xuất bản số/bài (quyền xuất bản thuộc Tổng biên tập/Quản trị).</w:t>
      </w:r>
    </w:p>
    <w:p>
      <w:pPr>
        <w:pStyle w:val="Heading3"/>
      </w:pPr>
      <w:r>
        <w:t xml:space="preserve">5.5. Biên tập viên dàn trang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Thực hiện biên tập chế bản, dàn trang, tạo bản xuất bản và đưa vào hàng đợi sản xuất.</w:t>
      </w:r>
    </w:p>
    <w:p>
      <w:pPr>
        <w:pStyle w:val="Heading1"/>
      </w:pPr>
      <w:r>
        <w:t xml:space="preserve">6. Lưu ý sử dụng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Đăng xuất khi rời máy; không chia sẻ tài khoản; bảo mật mã 2FA và mã dự phòng.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Tuân thủ quy trình; các thao tác nhạy cảm đều được ghi nhật ký kiểm toán.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t xml:space="preserve">Khi gặp lỗi giao diện, liên hệ Quản trị hệ thống kèm mô tả thao tác và thời điểm.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02A" w:sz="6" w:space="2"/>
      </w:pBdr>
      <w:tabs>
        <w:tab w:val="center" w:pos="4677"/>
        <w:tab w:val="right" w:pos="9354"/>
      </w:tabs>
      <w:spacing w:before="40"/>
    </w:pPr>
    <w:r>
      <w:rPr>
        <w:color w:val="777777"/>
        <w:sz w:val="17"/>
        <w:szCs w:val="17"/>
      </w:rPr>
      <w:t xml:space="preserve">NTQS-NT-08</w:t>
    </w:r>
    <w:r>
      <w:rPr>
        <w:color w:val="777777"/>
        <w:sz w:val="17"/>
        <w:szCs w:val="17"/>
      </w:rPr>
      <w:t xml:space="preserve">	Hồ sơ nghiệm thu — Lưu hành nội bộ</w:t>
    </w:r>
    <w:r>
      <w:rPr>
        <w:color w:val="777777"/>
        <w:sz w:val="17"/>
        <w:szCs w:val="17"/>
      </w:rPr>
      <w:t xml:space="preserve">	Trang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7"/>
        <w:szCs w:val="17"/>
      </w:rPr>
      <w:t xml:space="preserve">/</w:t>
    </w:r>
    <w:r>
      <w:rPr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02A" w:sz="6" w:space="2"/>
      </w:pBdr>
      <w:tabs>
        <w:tab w:val="right" w:pos="9354"/>
      </w:tabs>
      <w:spacing w:after="60"/>
    </w:pPr>
    <w:r>
      <w:rPr>
        <w:b/>
        <w:bCs/>
        <w:color w:val="1E3924"/>
        <w:sz w:val="18"/>
        <w:szCs w:val="18"/>
      </w:rPr>
      <w:t xml:space="preserve">Tạp chí Nghệ thuật Quân sự Việt Nam</w:t>
    </w:r>
    <w:r>
      <w:rPr>
        <w:i/>
        <w:iCs/>
        <w:color w:val="555555"/>
        <w:sz w:val="18"/>
        <w:szCs w:val="18"/>
      </w:rPr>
      <w:t xml:space="preserve">	Hướng dẫn quản trị và sử dụng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280"/>
      </w:pPr>
      <w:rPr>
        <w:color w:val="1E3924"/>
      </w:rPr>
    </w:lvl>
    <w:lvl w:ilvl="1" w15:tentative="1">
      <w:start w:val="1"/>
      <w:numFmt w:val="bullet"/>
      <w:lvlText w:val="·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Times New Roman" w:cs="Times New Roman" w:eastAsia="Times New Roman" w:hAnsi="Times New Roman"/>
      <w:b/>
      <w:bCs/>
      <w:caps/>
      <w:color w:val="1E392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E392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color w:val="3054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c516d18e743138cf7538b2162c066de6fbb99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2026-06-28T13:06:44.919Z</dcterms:created>
  <dcterms:modified xsi:type="dcterms:W3CDTF">2026-06-28T13:06:44.919Z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