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1D7" w:rsidRPr="000A7639" w:rsidRDefault="00FA263E" w:rsidP="00775D30">
      <w:pPr>
        <w:spacing w:after="0"/>
        <w:jc w:val="both"/>
        <w:rPr>
          <w:b/>
        </w:rPr>
      </w:pPr>
      <w:proofErr w:type="gramStart"/>
      <w:r>
        <w:rPr>
          <w:b/>
        </w:rPr>
        <w:t>Rec</w:t>
      </w:r>
      <w:r w:rsidR="00F66AC9" w:rsidRPr="000A7639">
        <w:rPr>
          <w:b/>
        </w:rPr>
        <w:t>P02CAII201001</w:t>
      </w:r>
      <w:proofErr w:type="gramEnd"/>
      <w:r w:rsidR="00F66AC9" w:rsidRPr="000A7639">
        <w:rPr>
          <w:b/>
        </w:rPr>
        <w:t xml:space="preserve"> – Edson de Paula Ferreira.</w:t>
      </w:r>
    </w:p>
    <w:p w:rsidR="000A7639" w:rsidRDefault="000A7639" w:rsidP="00775D30">
      <w:pPr>
        <w:spacing w:after="0"/>
        <w:jc w:val="both"/>
      </w:pPr>
      <w:proofErr w:type="gramStart"/>
      <w:r>
        <w:t>0</w:t>
      </w:r>
      <w:proofErr w:type="gramEnd"/>
      <w:r>
        <w:t>)</w:t>
      </w:r>
      <w:r w:rsidR="002D2050">
        <w:t>(0 a -10pts) Prova clara</w:t>
      </w:r>
      <w:r>
        <w:t xml:space="preserve"> e ordenada. A correta interpretação é parte da avaliação.</w:t>
      </w:r>
    </w:p>
    <w:p w:rsidR="00415D60" w:rsidRDefault="00E86354" w:rsidP="00775D30">
      <w:pPr>
        <w:spacing w:after="0"/>
        <w:jc w:val="both"/>
      </w:pPr>
      <w:proofErr w:type="gramStart"/>
      <w:r>
        <w:t>1</w:t>
      </w:r>
      <w:proofErr w:type="gramEnd"/>
      <w:r>
        <w:t xml:space="preserve">) </w:t>
      </w:r>
      <w:r w:rsidR="00F66AC9">
        <w:t>Para o</w:t>
      </w:r>
      <w:r>
        <w:t>s</w:t>
      </w:r>
      <w:r w:rsidR="00F66AC9">
        <w:t xml:space="preserve"> sistema</w:t>
      </w:r>
      <w:r>
        <w:t>s</w:t>
      </w:r>
      <w:r w:rsidR="00F66AC9">
        <w:t xml:space="preserve"> </w:t>
      </w:r>
      <w:r>
        <w:t>contínuos,</w:t>
      </w:r>
      <w:r w:rsidR="00F66AC9">
        <w:t xml:space="preserve"> com realimentação negativa unitária cuja</w:t>
      </w:r>
      <w:r>
        <w:t>s</w:t>
      </w:r>
      <w:r w:rsidR="00F66AC9">
        <w:t xml:space="preserve"> </w:t>
      </w:r>
      <w:proofErr w:type="spellStart"/>
      <w:r w:rsidR="00F66AC9">
        <w:t>FTMA</w:t>
      </w:r>
      <w:r>
        <w:t>’s</w:t>
      </w:r>
      <w:proofErr w:type="spellEnd"/>
      <w:r>
        <w:t xml:space="preserve"> são</w:t>
      </w:r>
      <w:r w:rsidR="00F66AC9">
        <w:t xml:space="preserve"> dada</w:t>
      </w:r>
      <w:r>
        <w:t>s</w:t>
      </w:r>
      <w:r w:rsidR="00F66AC9">
        <w:t xml:space="preserve"> abaixo</w:t>
      </w:r>
      <w:r w:rsidR="00756BC2">
        <w:t>, trace o</w:t>
      </w:r>
      <w:r w:rsidR="00107043">
        <w:t>s</w:t>
      </w:r>
      <w:r w:rsidR="00756BC2">
        <w:t xml:space="preserve"> diagrama</w:t>
      </w:r>
      <w:r>
        <w:t>s</w:t>
      </w:r>
      <w:r w:rsidR="00756BC2">
        <w:t xml:space="preserve"> de bode</w:t>
      </w:r>
      <w:r w:rsidR="00107043">
        <w:t xml:space="preserve"> em malha aberta</w:t>
      </w:r>
      <w:r>
        <w:t xml:space="preserve"> correspondentes, </w:t>
      </w:r>
      <w:r w:rsidR="00756BC2">
        <w:t xml:space="preserve"> </w:t>
      </w:r>
      <w:r w:rsidR="00517A10">
        <w:t xml:space="preserve">primeiro </w:t>
      </w:r>
      <w:r w:rsidR="00756BC2">
        <w:t>utilizando as aproximaç</w:t>
      </w:r>
      <w:r w:rsidR="00775D30">
        <w:t>ões assintóticas, depois esboçando</w:t>
      </w:r>
      <w:r w:rsidR="00756BC2">
        <w:t xml:space="preserve"> a</w:t>
      </w:r>
      <w:r>
        <w:t>s</w:t>
      </w:r>
      <w:r w:rsidR="00756BC2">
        <w:t xml:space="preserve"> </w:t>
      </w:r>
      <w:r>
        <w:t xml:space="preserve">correções, </w:t>
      </w:r>
      <w:r w:rsidR="00C13EBE">
        <w:t xml:space="preserve">e assim </w:t>
      </w:r>
      <w:r>
        <w:t>ilustrando como ficariam as curvas reais.</w:t>
      </w:r>
      <w:r w:rsidR="00722B4B">
        <w:t xml:space="preserve"> </w:t>
      </w:r>
      <w:r w:rsidR="003A494E">
        <w:t>Para o traçado, se quiser, use</w:t>
      </w:r>
      <w:r w:rsidR="00722B4B">
        <w:t xml:space="preserve"> </w:t>
      </w:r>
      <w:r w:rsidR="00107043">
        <w:t xml:space="preserve">os gráficos em anexo, adaptando as escalas. </w:t>
      </w:r>
      <w:r>
        <w:t xml:space="preserve"> </w:t>
      </w:r>
    </w:p>
    <w:p w:rsidR="00E86354" w:rsidRPr="00A65A40" w:rsidRDefault="00E86354" w:rsidP="00775D30">
      <w:pPr>
        <w:spacing w:after="0"/>
        <w:jc w:val="both"/>
        <w:rPr>
          <w:lang w:val="en-US"/>
        </w:rPr>
      </w:pPr>
      <w:r w:rsidRPr="00A65A40">
        <w:rPr>
          <w:lang w:val="en-US"/>
        </w:rPr>
        <w:t>1.1</w:t>
      </w:r>
      <w:proofErr w:type="gramStart"/>
      <w:r w:rsidRPr="00A65A40">
        <w:rPr>
          <w:lang w:val="en-US"/>
        </w:rPr>
        <w:t>)</w:t>
      </w:r>
      <w:r w:rsidR="00722B4B">
        <w:rPr>
          <w:lang w:val="en-US"/>
        </w:rPr>
        <w:t>(</w:t>
      </w:r>
      <w:proofErr w:type="gramEnd"/>
      <w:r w:rsidR="00722B4B">
        <w:rPr>
          <w:lang w:val="en-US"/>
        </w:rPr>
        <w:t>2.0</w:t>
      </w:r>
      <w:r w:rsidR="00D018E4" w:rsidRPr="00A65A40">
        <w:rPr>
          <w:lang w:val="en-US"/>
        </w:rPr>
        <w:t xml:space="preserve">pts) </w:t>
      </w:r>
      <w:r w:rsidRPr="00A65A40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-0.1</m:t>
                </m:r>
              </m:e>
            </m:d>
            <m:r>
              <w:rPr>
                <w:rFonts w:ascii="Cambria Math" w:hAnsi="Cambria Math"/>
                <w:lang w:val="en-US"/>
              </w:rPr>
              <m:t>(S+500)</m:t>
            </m:r>
          </m:num>
          <m:den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+0.1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+100</m:t>
                </m:r>
              </m:e>
            </m:d>
          </m:den>
        </m:f>
      </m:oMath>
    </w:p>
    <w:p w:rsidR="00415D60" w:rsidRPr="00A65A40" w:rsidRDefault="00415D60" w:rsidP="00775D30">
      <w:pPr>
        <w:spacing w:after="0"/>
        <w:jc w:val="both"/>
        <w:rPr>
          <w:lang w:val="en-US"/>
        </w:rPr>
      </w:pPr>
    </w:p>
    <w:p w:rsidR="00D018E4" w:rsidRPr="00574D45" w:rsidRDefault="00722B4B" w:rsidP="00775D30">
      <w:pPr>
        <w:spacing w:after="0"/>
        <w:jc w:val="both"/>
        <w:rPr>
          <w:lang w:val="en-US"/>
        </w:rPr>
      </w:pPr>
      <w:r>
        <w:rPr>
          <w:lang w:val="en-US"/>
        </w:rPr>
        <w:t>1.2</w:t>
      </w:r>
      <w:proofErr w:type="gramStart"/>
      <w:r>
        <w:rPr>
          <w:lang w:val="en-US"/>
        </w:rPr>
        <w:t>)(</w:t>
      </w:r>
      <w:proofErr w:type="gramEnd"/>
      <w:r>
        <w:rPr>
          <w:lang w:val="en-US"/>
        </w:rPr>
        <w:t>2.0</w:t>
      </w:r>
      <w:r w:rsidR="00D018E4" w:rsidRPr="00A65A40">
        <w:rPr>
          <w:lang w:val="en-US"/>
        </w:rPr>
        <w:t xml:space="preserve">pts)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-100</m:t>
                </m:r>
              </m:e>
            </m:d>
          </m:num>
          <m:den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+0.2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+2</m:t>
                </m:r>
              </m:e>
            </m:d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+100)</m:t>
            </m:r>
          </m:den>
        </m:f>
      </m:oMath>
    </w:p>
    <w:p w:rsidR="00E71C84" w:rsidRPr="00A65A40" w:rsidRDefault="00E71C84" w:rsidP="00775D30">
      <w:pPr>
        <w:spacing w:after="0"/>
        <w:jc w:val="both"/>
        <w:rPr>
          <w:lang w:val="en-US"/>
        </w:rPr>
      </w:pPr>
    </w:p>
    <w:p w:rsidR="003A494E" w:rsidRDefault="00722B4B" w:rsidP="003A494E">
      <w:pPr>
        <w:spacing w:after="0"/>
        <w:jc w:val="both"/>
      </w:pPr>
      <w:proofErr w:type="gramStart"/>
      <w:r w:rsidRPr="00722B4B">
        <w:t>1.3)</w:t>
      </w:r>
      <w:proofErr w:type="gramEnd"/>
      <w:r w:rsidRPr="00722B4B">
        <w:t>(1.5</w:t>
      </w:r>
      <w:proofErr w:type="spellStart"/>
      <w:r w:rsidRPr="00722B4B">
        <w:t>pts</w:t>
      </w:r>
      <w:proofErr w:type="spellEnd"/>
      <w:r w:rsidRPr="00722B4B">
        <w:t xml:space="preserve">) </w:t>
      </w:r>
      <w:r w:rsidR="00E71C84">
        <w:t xml:space="preserve">Para os dois sistemas, esboce os diagramas polares correspondentes e </w:t>
      </w:r>
      <w:r w:rsidR="003A494E">
        <w:t xml:space="preserve"> faça a análise da estabilidade, via critério simplificado de </w:t>
      </w:r>
      <w:proofErr w:type="spellStart"/>
      <w:r w:rsidR="003A494E">
        <w:t>Nyquist</w:t>
      </w:r>
      <w:proofErr w:type="spellEnd"/>
      <w:r w:rsidR="003A494E">
        <w:t xml:space="preserve"> (explicite o # de pólos em malha fechada à direita)</w:t>
      </w:r>
      <w:r w:rsidR="00E71C84">
        <w:t>. Para algum deles faça também a análise considerando o ganho negativo.</w:t>
      </w:r>
    </w:p>
    <w:p w:rsidR="00415D60" w:rsidRPr="00722B4B" w:rsidRDefault="00415D60" w:rsidP="00775D30">
      <w:pPr>
        <w:spacing w:after="0"/>
        <w:jc w:val="both"/>
      </w:pPr>
    </w:p>
    <w:p w:rsidR="00D018E4" w:rsidRDefault="00107043" w:rsidP="00775D30">
      <w:pPr>
        <w:spacing w:after="0"/>
        <w:jc w:val="both"/>
      </w:pPr>
      <w:proofErr w:type="gramStart"/>
      <w:r>
        <w:t>2</w:t>
      </w:r>
      <w:proofErr w:type="gramEnd"/>
      <w:r>
        <w:t xml:space="preserve">) </w:t>
      </w:r>
      <w:r w:rsidR="00550C01">
        <w:t xml:space="preserve">Considere os sistemas contínuos, com realimentação negativa unitária cujas </w:t>
      </w:r>
      <w:proofErr w:type="spellStart"/>
      <w:r w:rsidR="00550C01">
        <w:t>FTMA’s</w:t>
      </w:r>
      <w:proofErr w:type="spellEnd"/>
      <w:r w:rsidR="00550C01">
        <w:t xml:space="preserve"> são definidas pelos diagramas de Bode</w:t>
      </w:r>
      <w:r w:rsidR="00775D30">
        <w:t xml:space="preserve"> abaixo</w:t>
      </w:r>
      <w:r w:rsidR="00550C01">
        <w:t>. Observe que os diagramas de módulo são iguais para os dois sistemas.</w:t>
      </w:r>
    </w:p>
    <w:p w:rsidR="00285CBE" w:rsidRDefault="00285CBE" w:rsidP="00775D30">
      <w:pPr>
        <w:spacing w:after="0"/>
        <w:jc w:val="both"/>
      </w:pPr>
      <w:proofErr w:type="gramStart"/>
      <w:r>
        <w:t>2.1)</w:t>
      </w:r>
      <w:proofErr w:type="gramEnd"/>
      <w:r>
        <w:t>(0.5</w:t>
      </w:r>
      <w:proofErr w:type="spellStart"/>
      <w:r>
        <w:t>pts</w:t>
      </w:r>
      <w:proofErr w:type="spellEnd"/>
      <w:r>
        <w:t>) Obtenha o ganho normalizado.</w:t>
      </w:r>
    </w:p>
    <w:p w:rsidR="00285CBE" w:rsidRDefault="00285CBE" w:rsidP="00775D30">
      <w:pPr>
        <w:spacing w:after="0"/>
        <w:jc w:val="both"/>
      </w:pPr>
      <w:proofErr w:type="gramStart"/>
      <w:r>
        <w:t>2.2)</w:t>
      </w:r>
      <w:proofErr w:type="gramEnd"/>
      <w:r>
        <w:t>(1.0</w:t>
      </w:r>
      <w:proofErr w:type="spellStart"/>
      <w:r>
        <w:t>pt</w:t>
      </w:r>
      <w:proofErr w:type="spellEnd"/>
      <w:r>
        <w:t>) Obtenha as freqüências de cruzamento de ganho e fase e as margens de ganho e fase.</w:t>
      </w:r>
    </w:p>
    <w:p w:rsidR="00285CBE" w:rsidRDefault="00A65A40" w:rsidP="0052630D">
      <w:pPr>
        <w:spacing w:after="0"/>
        <w:rPr>
          <w:noProof/>
          <w:lang w:eastAsia="pt-BR"/>
        </w:rPr>
      </w:pPr>
      <w:proofErr w:type="gramStart"/>
      <w:r>
        <w:t>2.3</w:t>
      </w:r>
      <w:r w:rsidR="00AF0083">
        <w:t>)</w:t>
      </w:r>
      <w:proofErr w:type="gramEnd"/>
      <w:r w:rsidR="00AF0083">
        <w:t>(1.5</w:t>
      </w:r>
      <w:proofErr w:type="spellStart"/>
      <w:r>
        <w:t>pt</w:t>
      </w:r>
      <w:r w:rsidR="00AF0083">
        <w:t>s</w:t>
      </w:r>
      <w:proofErr w:type="spellEnd"/>
      <w:r>
        <w:t xml:space="preserve">) Esboce os diagramas polares correspondentes aos diagramas de Bode dados e faça a análise da estabilidade utilizando o critério simplificado de </w:t>
      </w:r>
      <w:proofErr w:type="spellStart"/>
      <w:r>
        <w:t>Nyquist</w:t>
      </w:r>
      <w:proofErr w:type="spellEnd"/>
      <w:r>
        <w:t xml:space="preserve"> (explicite o # de pólos em malha fechada à direita).</w:t>
      </w:r>
      <w:r w:rsidRPr="00775D30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285CBE" w:rsidRDefault="0052630D" w:rsidP="00775D30">
      <w:pPr>
        <w:spacing w:after="0"/>
        <w:jc w:val="both"/>
      </w:pPr>
      <w:proofErr w:type="gramStart"/>
      <w:r>
        <w:t>2.4)</w:t>
      </w:r>
      <w:proofErr w:type="gramEnd"/>
      <w:r>
        <w:t>(1.5</w:t>
      </w:r>
      <w:proofErr w:type="spellStart"/>
      <w:r w:rsidR="00285CBE">
        <w:t>pt</w:t>
      </w:r>
      <w:r w:rsidR="00AF0083">
        <w:t>s</w:t>
      </w:r>
      <w:proofErr w:type="spellEnd"/>
      <w:r w:rsidR="00285CBE">
        <w:t xml:space="preserve">) Escolha um dos sistemas </w:t>
      </w:r>
      <w:r>
        <w:t xml:space="preserve"> e i</w:t>
      </w:r>
      <w:r w:rsidR="00A65A40">
        <w:t xml:space="preserve">dentifique aproximadamente </w:t>
      </w:r>
      <w:r>
        <w:t xml:space="preserve">os respectivos pólos e zeros da FTMA, em seguida, </w:t>
      </w:r>
      <w:r w:rsidR="00285CBE">
        <w:t xml:space="preserve"> trace o diagrama correspondente às  aproximações assintóticas dos pólos e zeros que você identificou e avalie, comparando com a curva original, a qualidade da sua aproximação.</w:t>
      </w:r>
    </w:p>
    <w:p w:rsidR="00BE5FA8" w:rsidRDefault="00C17E30" w:rsidP="00415D60">
      <w:pPr>
        <w:spacing w:after="0"/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6553200" cy="4914900"/>
            <wp:effectExtent l="19050" t="0" r="0" b="0"/>
            <wp:docPr id="1" name="Imagem 1" descr="C:\Users\Edinho\Desktop\figre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inho\Desktop\figrec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5FA8" w:rsidSect="00775D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91C20"/>
    <w:multiLevelType w:val="hybridMultilevel"/>
    <w:tmpl w:val="432434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66AC9"/>
    <w:rsid w:val="00086C41"/>
    <w:rsid w:val="000A7639"/>
    <w:rsid w:val="00107043"/>
    <w:rsid w:val="001924AE"/>
    <w:rsid w:val="001D60DD"/>
    <w:rsid w:val="001F40E5"/>
    <w:rsid w:val="0022053F"/>
    <w:rsid w:val="00285CBE"/>
    <w:rsid w:val="002D2050"/>
    <w:rsid w:val="003A494E"/>
    <w:rsid w:val="00415D60"/>
    <w:rsid w:val="00443CDF"/>
    <w:rsid w:val="00497066"/>
    <w:rsid w:val="004C1549"/>
    <w:rsid w:val="00517A10"/>
    <w:rsid w:val="0052630D"/>
    <w:rsid w:val="00550C01"/>
    <w:rsid w:val="00574D45"/>
    <w:rsid w:val="00722B4B"/>
    <w:rsid w:val="00756BC2"/>
    <w:rsid w:val="00775D30"/>
    <w:rsid w:val="007776FC"/>
    <w:rsid w:val="00861851"/>
    <w:rsid w:val="0086555D"/>
    <w:rsid w:val="008A0488"/>
    <w:rsid w:val="008A7E86"/>
    <w:rsid w:val="008E681D"/>
    <w:rsid w:val="009371D7"/>
    <w:rsid w:val="009B7DC5"/>
    <w:rsid w:val="00A250EE"/>
    <w:rsid w:val="00A65A40"/>
    <w:rsid w:val="00AB0451"/>
    <w:rsid w:val="00AF0083"/>
    <w:rsid w:val="00B0232F"/>
    <w:rsid w:val="00B90695"/>
    <w:rsid w:val="00BE5FA8"/>
    <w:rsid w:val="00C13EBE"/>
    <w:rsid w:val="00C17E30"/>
    <w:rsid w:val="00C209ED"/>
    <w:rsid w:val="00C64C04"/>
    <w:rsid w:val="00C65040"/>
    <w:rsid w:val="00CC54CB"/>
    <w:rsid w:val="00D018E4"/>
    <w:rsid w:val="00E17A4B"/>
    <w:rsid w:val="00E71C84"/>
    <w:rsid w:val="00E86354"/>
    <w:rsid w:val="00EB3232"/>
    <w:rsid w:val="00F66AC9"/>
    <w:rsid w:val="00F803B8"/>
    <w:rsid w:val="00FA2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61851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1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185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275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4</cp:revision>
  <dcterms:created xsi:type="dcterms:W3CDTF">2010-05-18T17:51:00Z</dcterms:created>
  <dcterms:modified xsi:type="dcterms:W3CDTF">2010-05-18T19:01:00Z</dcterms:modified>
</cp:coreProperties>
</file>