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60133" w14:textId="298CC1AA" w:rsidR="0097543F" w:rsidRPr="0030710C" w:rsidRDefault="00DC0148">
      <w:pPr>
        <w:rPr>
          <w:b/>
          <w:sz w:val="28"/>
          <w:szCs w:val="28"/>
        </w:rPr>
      </w:pPr>
      <w:r w:rsidRPr="0030710C">
        <w:rPr>
          <w:b/>
          <w:sz w:val="28"/>
          <w:szCs w:val="28"/>
        </w:rPr>
        <w:t>Data structure</w:t>
      </w:r>
    </w:p>
    <w:p w14:paraId="56D034A1" w14:textId="6F424286" w:rsidR="00CE1705" w:rsidRDefault="0041461E">
      <w:r w:rsidRPr="00A653B9">
        <w:t>W</w:t>
      </w:r>
      <w:r w:rsidR="00D65229" w:rsidRPr="00A653B9">
        <w:t>eighted Graph</w:t>
      </w:r>
      <w:r w:rsidRPr="00A653B9">
        <w:t xml:space="preserve"> is used in this assig</w:t>
      </w:r>
      <w:r w:rsidR="004A6416" w:rsidRPr="00A653B9">
        <w:t>n</w:t>
      </w:r>
      <w:r w:rsidRPr="00A653B9">
        <w:t>ment</w:t>
      </w:r>
      <w:r w:rsidR="005254B0" w:rsidRPr="00A653B9">
        <w:t>.</w:t>
      </w:r>
      <w:r w:rsidR="00E511FA" w:rsidRPr="00A653B9">
        <w:t xml:space="preserve"> E</w:t>
      </w:r>
      <w:r w:rsidR="000E4353" w:rsidRPr="00A653B9">
        <w:t xml:space="preserve">very node in this graph is a router in the </w:t>
      </w:r>
      <w:r w:rsidR="00B97921" w:rsidRPr="00A653B9">
        <w:t>topology and every edge is a path</w:t>
      </w:r>
      <w:r w:rsidR="00004D00">
        <w:t xml:space="preserve"> which</w:t>
      </w:r>
      <w:r w:rsidR="00E20132">
        <w:t xml:space="preserve"> is</w:t>
      </w:r>
      <w:r w:rsidR="00004D00">
        <w:t xml:space="preserve"> constructed</w:t>
      </w:r>
      <w:r w:rsidR="00A45A1E">
        <w:t xml:space="preserve"> by two nodes</w:t>
      </w:r>
      <w:r w:rsidR="00B97921" w:rsidRPr="00A653B9">
        <w:t xml:space="preserve">. Every edge has a weight which is a list and the first value in this list is delay, the second </w:t>
      </w:r>
      <w:r w:rsidR="00494A31">
        <w:t>argument</w:t>
      </w:r>
      <w:r w:rsidR="00B97921" w:rsidRPr="00A653B9">
        <w:t xml:space="preserve"> is capacity and </w:t>
      </w:r>
      <w:r w:rsidR="00262949" w:rsidRPr="00A653B9">
        <w:t xml:space="preserve">the third </w:t>
      </w:r>
      <w:r w:rsidR="00494A31">
        <w:t>argument</w:t>
      </w:r>
      <w:r w:rsidR="00494A31" w:rsidRPr="00A653B9">
        <w:t xml:space="preserve"> </w:t>
      </w:r>
      <w:r w:rsidR="00262949" w:rsidRPr="00A653B9">
        <w:t>is a</w:t>
      </w:r>
      <w:r w:rsidR="00317795">
        <w:t xml:space="preserve"> time</w:t>
      </w:r>
      <w:r w:rsidR="00262949" w:rsidRPr="00A653B9">
        <w:t xml:space="preserve"> </w:t>
      </w:r>
      <w:r w:rsidR="008F0ECF">
        <w:rPr>
          <w:rFonts w:hint="eastAsia"/>
        </w:rPr>
        <w:t xml:space="preserve">list </w:t>
      </w:r>
      <w:r w:rsidR="008B6E91">
        <w:t>that</w:t>
      </w:r>
      <w:r w:rsidR="008F0ECF">
        <w:rPr>
          <w:rFonts w:hint="eastAsia"/>
        </w:rPr>
        <w:t xml:space="preserve"> </w:t>
      </w:r>
      <w:r w:rsidR="008F0ECF">
        <w:t>stores the finishing time of every request which has used this</w:t>
      </w:r>
      <w:r w:rsidR="002F0D91">
        <w:t xml:space="preserve"> current</w:t>
      </w:r>
      <w:r w:rsidR="008F0ECF">
        <w:t xml:space="preserve"> path.</w:t>
      </w:r>
    </w:p>
    <w:p w14:paraId="6F5BD050" w14:textId="2F1B9D6D" w:rsidR="00317795" w:rsidRPr="00CE1705" w:rsidRDefault="00317795">
      <w:r>
        <w:t>When doing the loop t</w:t>
      </w:r>
      <w:r w:rsidR="00C7280D">
        <w:t xml:space="preserve">o </w:t>
      </w:r>
      <w:r w:rsidR="00153082">
        <w:t>send</w:t>
      </w:r>
      <w:r w:rsidR="00C7280D">
        <w:t xml:space="preserve"> a request,</w:t>
      </w:r>
      <w:r w:rsidR="00731EEC">
        <w:t xml:space="preserve"> </w:t>
      </w:r>
      <w:proofErr w:type="gramStart"/>
      <w:r w:rsidR="00731EEC">
        <w:t>first of all</w:t>
      </w:r>
      <w:proofErr w:type="gramEnd"/>
      <w:r w:rsidR="00731EEC">
        <w:t>,</w:t>
      </w:r>
      <w:r w:rsidR="00C7280D">
        <w:t xml:space="preserve"> the time list (third argument of edge) </w:t>
      </w:r>
      <w:r w:rsidR="009B1D63">
        <w:t xml:space="preserve">of every edge in the </w:t>
      </w:r>
      <w:r w:rsidR="00C06CD6">
        <w:t>graph</w:t>
      </w:r>
      <w:r w:rsidR="009B1D63">
        <w:t xml:space="preserve"> </w:t>
      </w:r>
      <w:r w:rsidR="00C7280D">
        <w:t xml:space="preserve">will be </w:t>
      </w:r>
      <w:r w:rsidR="00AC6F22">
        <w:t>iterated once to remove the times which is smaller than the start time of</w:t>
      </w:r>
      <w:r w:rsidR="00153082">
        <w:t xml:space="preserve"> the</w:t>
      </w:r>
      <w:r w:rsidR="00AC6F22">
        <w:t xml:space="preserve"> </w:t>
      </w:r>
      <w:r w:rsidR="00153082">
        <w:t>current request</w:t>
      </w:r>
      <w:r w:rsidR="007A7D68">
        <w:t xml:space="preserve">. It is called releasing </w:t>
      </w:r>
      <w:r w:rsidR="00873357">
        <w:t>re</w:t>
      </w:r>
      <w:r w:rsidR="007A7D68">
        <w:t>sources.</w:t>
      </w:r>
      <w:r w:rsidR="00C84E2E">
        <w:t xml:space="preserve"> Then the Dijkstra algorithm will be used to find a best path depend on the chosen routing </w:t>
      </w:r>
      <w:r w:rsidR="001226DA">
        <w:t xml:space="preserve">scheme. </w:t>
      </w:r>
      <w:r w:rsidR="00731EEC">
        <w:t>Then the path w</w:t>
      </w:r>
      <w:r w:rsidR="00951D33">
        <w:t>ill be tested to check</w:t>
      </w:r>
      <w:r w:rsidR="00EB27F0">
        <w:t xml:space="preserve"> if it has been blocked or not </w:t>
      </w:r>
      <w:r w:rsidR="00951D33">
        <w:t>(Whether the length of time list is equal to the cap</w:t>
      </w:r>
      <w:r w:rsidR="001726A9">
        <w:t>a</w:t>
      </w:r>
      <w:r w:rsidR="00951D33">
        <w:t>city)</w:t>
      </w:r>
      <w:r w:rsidR="00EB27F0">
        <w:t xml:space="preserve">. </w:t>
      </w:r>
      <w:r w:rsidR="00E30C14">
        <w:t xml:space="preserve">If </w:t>
      </w:r>
      <w:r w:rsidR="000F045D">
        <w:t>it has</w:t>
      </w:r>
      <w:r w:rsidR="00E30C14">
        <w:t xml:space="preserve"> </w:t>
      </w:r>
      <w:r w:rsidR="00B96AD1">
        <w:t>been blocked</w:t>
      </w:r>
      <w:r w:rsidR="00276354">
        <w:t>,</w:t>
      </w:r>
      <w:r w:rsidR="00E30C14">
        <w:t xml:space="preserve"> then </w:t>
      </w:r>
      <w:r w:rsidR="00C45038">
        <w:t>do nothing and jump to the next</w:t>
      </w:r>
      <w:r w:rsidR="003E01B6">
        <w:t xml:space="preserve"> </w:t>
      </w:r>
      <w:r w:rsidR="00B21EC4">
        <w:t>request</w:t>
      </w:r>
      <w:r w:rsidR="00C45038">
        <w:t xml:space="preserve">. Otherwise, </w:t>
      </w:r>
      <w:r w:rsidR="00E30C14">
        <w:t xml:space="preserve">connection will be established and the finishing time </w:t>
      </w:r>
      <w:r w:rsidR="00E55482">
        <w:t>should be</w:t>
      </w:r>
      <w:r w:rsidR="000D5875">
        <w:t xml:space="preserve"> appended into </w:t>
      </w:r>
      <w:r w:rsidR="000B2C56">
        <w:t>time list.</w:t>
      </w:r>
      <w:r w:rsidR="00EF7793">
        <w:t xml:space="preserve"> It is called occupying </w:t>
      </w:r>
      <w:r w:rsidR="00873357">
        <w:t>re</w:t>
      </w:r>
      <w:r w:rsidR="00EF7793">
        <w:t>sources.</w:t>
      </w:r>
    </w:p>
    <w:p w14:paraId="09E09315" w14:textId="77777777" w:rsidR="007446D1" w:rsidRPr="00EF7793" w:rsidRDefault="007446D1"/>
    <w:p w14:paraId="7147A06A" w14:textId="1CB43027" w:rsidR="00060041" w:rsidRPr="00CD3D3E" w:rsidRDefault="002A5D5D" w:rsidP="00060041">
      <w:pPr>
        <w:rPr>
          <w:b/>
          <w:sz w:val="28"/>
          <w:szCs w:val="28"/>
        </w:rPr>
      </w:pPr>
      <w:r w:rsidRPr="00CD3D3E">
        <w:rPr>
          <w:b/>
          <w:sz w:val="28"/>
          <w:szCs w:val="28"/>
        </w:rPr>
        <w:t>Comparison</w:t>
      </w:r>
    </w:p>
    <w:p w14:paraId="76981649" w14:textId="439BDCBD" w:rsidR="00D74F40" w:rsidRDefault="00A42246" w:rsidP="005547CF">
      <w:r w:rsidRPr="00B73A01">
        <w:rPr>
          <w:b/>
        </w:rPr>
        <w:t>8 columns rep</w:t>
      </w:r>
      <w:r w:rsidR="00F14111" w:rsidRPr="00B73A01">
        <w:rPr>
          <w:b/>
        </w:rPr>
        <w:t>resent</w:t>
      </w:r>
      <w:r w:rsidR="00AB0EEE" w:rsidRPr="00B73A01">
        <w:rPr>
          <w:b/>
        </w:rPr>
        <w:t xml:space="preserve"> the following </w:t>
      </w:r>
      <w:r w:rsidR="00E1245E" w:rsidRPr="00B73A01">
        <w:rPr>
          <w:b/>
        </w:rPr>
        <w:t>meaning</w:t>
      </w:r>
      <w:r w:rsidR="006A5221" w:rsidRPr="00B73A01">
        <w:rPr>
          <w:b/>
        </w:rPr>
        <w:t>s</w:t>
      </w:r>
      <w:r w:rsidR="00893E94" w:rsidRPr="00B73A01">
        <w:rPr>
          <w:b/>
        </w:rPr>
        <w:t>:</w:t>
      </w:r>
      <w:r w:rsidR="00E00B3E">
        <w:t xml:space="preserve"> 1. </w:t>
      </w:r>
      <w:r w:rsidR="007B7547">
        <w:t>T</w:t>
      </w:r>
      <w:r w:rsidR="003F0E91">
        <w:t xml:space="preserve">otal number </w:t>
      </w:r>
      <w:r w:rsidR="00C13413">
        <w:t>of virtual connection requests</w:t>
      </w:r>
      <w:r w:rsidR="00D84A24">
        <w:t xml:space="preserve"> 2. </w:t>
      </w:r>
      <w:r w:rsidR="007B7547">
        <w:t>Total number of packets</w:t>
      </w:r>
      <w:r w:rsidR="003F550D">
        <w:t xml:space="preserve"> 3. </w:t>
      </w:r>
      <w:r w:rsidR="007B7547">
        <w:t>N</w:t>
      </w:r>
      <w:r w:rsidR="003F0E91">
        <w:t>umber o</w:t>
      </w:r>
      <w:r w:rsidR="007B7547">
        <w:t>f successfully routed packets</w:t>
      </w:r>
      <w:r w:rsidR="00296844">
        <w:t xml:space="preserve"> 4. </w:t>
      </w:r>
      <w:r w:rsidR="007B7547">
        <w:t>P</w:t>
      </w:r>
      <w:r w:rsidR="003F0E91">
        <w:t>ercentage of su</w:t>
      </w:r>
      <w:r w:rsidR="007B7547">
        <w:t>ccessfully routed packets</w:t>
      </w:r>
      <w:r w:rsidR="00AE08A0">
        <w:t xml:space="preserve"> 5. </w:t>
      </w:r>
      <w:r w:rsidR="00AB0EEE">
        <w:t>N</w:t>
      </w:r>
      <w:r w:rsidR="007B7547">
        <w:t>umber of blocked packets</w:t>
      </w:r>
      <w:r w:rsidR="003C0183">
        <w:t xml:space="preserve"> 6. </w:t>
      </w:r>
      <w:r w:rsidR="00AB0EEE">
        <w:t>P</w:t>
      </w:r>
      <w:r w:rsidR="003F0E91">
        <w:t>er</w:t>
      </w:r>
      <w:r w:rsidR="007B7547">
        <w:t>centage of blocked packets</w:t>
      </w:r>
      <w:r w:rsidR="00F22036">
        <w:t xml:space="preserve"> 7. </w:t>
      </w:r>
      <w:r w:rsidR="00AB0EEE">
        <w:t>A</w:t>
      </w:r>
      <w:r w:rsidR="003F0E91">
        <w:t xml:space="preserve">verage </w:t>
      </w:r>
      <w:r w:rsidR="007B7547">
        <w:t>number of hops per circuit</w:t>
      </w:r>
      <w:r w:rsidR="005547CF">
        <w:t xml:space="preserve"> 8. </w:t>
      </w:r>
      <w:r w:rsidR="00AB0EEE">
        <w:t>A</w:t>
      </w:r>
      <w:r w:rsidR="003F0E91">
        <w:t>verage cumulative propa</w:t>
      </w:r>
      <w:r w:rsidR="007B7547">
        <w:t>gation delay per circuit</w:t>
      </w:r>
    </w:p>
    <w:p w14:paraId="5987F019" w14:textId="4F12C626" w:rsidR="00EF67D0" w:rsidRDefault="00EF67D0" w:rsidP="005547CF">
      <w:r>
        <w:t>Both packets rate of this two tables are 2.</w:t>
      </w:r>
    </w:p>
    <w:p w14:paraId="74EF0EDE" w14:textId="55D8AD4F" w:rsidR="00E00B3E" w:rsidRPr="00C82DA4" w:rsidRDefault="00A67C37" w:rsidP="00540AE9">
      <w:pPr>
        <w:jc w:val="center"/>
      </w:pPr>
      <w:r>
        <w:rPr>
          <w:b/>
        </w:rPr>
        <w:t xml:space="preserve">Virtual </w:t>
      </w:r>
      <w:r w:rsidR="00540AE9">
        <w:rPr>
          <w:b/>
        </w:rPr>
        <w:t xml:space="preserve">Circuit </w:t>
      </w:r>
      <w:r w:rsidR="00D3673B">
        <w:rPr>
          <w:b/>
        </w:rPr>
        <w:t>N</w:t>
      </w:r>
      <w:r w:rsidR="00D3673B" w:rsidRPr="00D3673B">
        <w:rPr>
          <w:b/>
        </w:rPr>
        <w:t xml:space="preserve">etwork </w:t>
      </w:r>
      <w:r w:rsidR="00756DC7">
        <w:rPr>
          <w:b/>
        </w:rPr>
        <w:t>(SHP,</w:t>
      </w:r>
      <w:r w:rsidR="00EE4794">
        <w:rPr>
          <w:b/>
        </w:rPr>
        <w:t xml:space="preserve"> </w:t>
      </w:r>
      <w:r w:rsidR="00756DC7">
        <w:rPr>
          <w:b/>
        </w:rPr>
        <w:t>SDP,</w:t>
      </w:r>
      <w:r w:rsidR="00EE4794">
        <w:rPr>
          <w:b/>
        </w:rPr>
        <w:t xml:space="preserve"> </w:t>
      </w:r>
      <w:r w:rsidR="00756DC7">
        <w:rPr>
          <w:b/>
        </w:rPr>
        <w:t>LLP)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C028C6" w:rsidRPr="009E4D8F" w14:paraId="7B1A65C6" w14:textId="77777777" w:rsidTr="00C028C6">
        <w:tc>
          <w:tcPr>
            <w:tcW w:w="1126" w:type="dxa"/>
          </w:tcPr>
          <w:p w14:paraId="3925444D" w14:textId="078405D0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65BA187C" w14:textId="4928A6D7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2F4A3712" w14:textId="1701AA61" w:rsidR="00C028C6" w:rsidRPr="009E4D8F" w:rsidRDefault="008944A6" w:rsidP="00060041">
            <w:r w:rsidRPr="009E4D8F">
              <w:t>323558</w:t>
            </w:r>
          </w:p>
        </w:tc>
        <w:tc>
          <w:tcPr>
            <w:tcW w:w="1126" w:type="dxa"/>
          </w:tcPr>
          <w:p w14:paraId="4D2F8834" w14:textId="297924F6" w:rsidR="00C028C6" w:rsidRPr="009E4D8F" w:rsidRDefault="0028252D" w:rsidP="00060041">
            <w:r w:rsidRPr="009E4D8F">
              <w:t>91.12</w:t>
            </w:r>
          </w:p>
        </w:tc>
        <w:tc>
          <w:tcPr>
            <w:tcW w:w="1126" w:type="dxa"/>
          </w:tcPr>
          <w:p w14:paraId="3389047D" w14:textId="185134FF" w:rsidR="00C028C6" w:rsidRPr="009E4D8F" w:rsidRDefault="009E4D8F" w:rsidP="00060041">
            <w:r w:rsidRPr="009E4D8F">
              <w:t>31533</w:t>
            </w:r>
          </w:p>
        </w:tc>
        <w:tc>
          <w:tcPr>
            <w:tcW w:w="1126" w:type="dxa"/>
          </w:tcPr>
          <w:p w14:paraId="2A7E01D5" w14:textId="33DF75BE" w:rsidR="00C028C6" w:rsidRPr="009E4D8F" w:rsidRDefault="009E4D8F" w:rsidP="00060041">
            <w:r w:rsidRPr="009E4D8F">
              <w:t>8.88</w:t>
            </w:r>
          </w:p>
        </w:tc>
        <w:tc>
          <w:tcPr>
            <w:tcW w:w="1127" w:type="dxa"/>
          </w:tcPr>
          <w:p w14:paraId="3F191ABA" w14:textId="0912B34B" w:rsidR="00C028C6" w:rsidRPr="009E4D8F" w:rsidRDefault="009E4D8F" w:rsidP="00060041">
            <w:r w:rsidRPr="009E4D8F">
              <w:t>3.65</w:t>
            </w:r>
          </w:p>
        </w:tc>
        <w:tc>
          <w:tcPr>
            <w:tcW w:w="1127" w:type="dxa"/>
          </w:tcPr>
          <w:p w14:paraId="41231CF3" w14:textId="795963B5" w:rsidR="00C028C6" w:rsidRPr="009E4D8F" w:rsidRDefault="009E4D8F" w:rsidP="00060041">
            <w:r w:rsidRPr="009E4D8F">
              <w:t>166.82</w:t>
            </w:r>
          </w:p>
        </w:tc>
      </w:tr>
      <w:tr w:rsidR="00C028C6" w:rsidRPr="009E4D8F" w14:paraId="448A6108" w14:textId="77777777" w:rsidTr="00C028C6">
        <w:tc>
          <w:tcPr>
            <w:tcW w:w="1126" w:type="dxa"/>
          </w:tcPr>
          <w:p w14:paraId="3EBF526B" w14:textId="17DE50E2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4CC9A584" w14:textId="75A2E25A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6EDFA034" w14:textId="73B74DA9" w:rsidR="00C028C6" w:rsidRPr="009E4D8F" w:rsidRDefault="008944A6" w:rsidP="00060041">
            <w:r w:rsidRPr="009E4D8F">
              <w:t>334409</w:t>
            </w:r>
          </w:p>
        </w:tc>
        <w:tc>
          <w:tcPr>
            <w:tcW w:w="1126" w:type="dxa"/>
          </w:tcPr>
          <w:p w14:paraId="1411D046" w14:textId="00B0C09C" w:rsidR="00C028C6" w:rsidRPr="009E4D8F" w:rsidRDefault="009E4D8F" w:rsidP="00060041">
            <w:r w:rsidRPr="009E4D8F">
              <w:t>94.18</w:t>
            </w:r>
          </w:p>
        </w:tc>
        <w:tc>
          <w:tcPr>
            <w:tcW w:w="1126" w:type="dxa"/>
          </w:tcPr>
          <w:p w14:paraId="0A6FB7C5" w14:textId="4D779A2B" w:rsidR="00C028C6" w:rsidRPr="009E4D8F" w:rsidRDefault="009E4D8F" w:rsidP="00060041">
            <w:r w:rsidRPr="009E4D8F">
              <w:t>20682</w:t>
            </w:r>
          </w:p>
        </w:tc>
        <w:tc>
          <w:tcPr>
            <w:tcW w:w="1126" w:type="dxa"/>
          </w:tcPr>
          <w:p w14:paraId="7AE9A5BA" w14:textId="1BC9307D" w:rsidR="00C028C6" w:rsidRPr="009E4D8F" w:rsidRDefault="009E4D8F" w:rsidP="00060041">
            <w:r w:rsidRPr="009E4D8F">
              <w:t>5.82</w:t>
            </w:r>
          </w:p>
        </w:tc>
        <w:tc>
          <w:tcPr>
            <w:tcW w:w="1127" w:type="dxa"/>
          </w:tcPr>
          <w:p w14:paraId="7087D45E" w14:textId="43FE69C0" w:rsidR="00C028C6" w:rsidRPr="009E4D8F" w:rsidRDefault="009E4D8F" w:rsidP="00060041">
            <w:r w:rsidRPr="009E4D8F">
              <w:t>3.89</w:t>
            </w:r>
          </w:p>
        </w:tc>
        <w:tc>
          <w:tcPr>
            <w:tcW w:w="1127" w:type="dxa"/>
          </w:tcPr>
          <w:p w14:paraId="25EB0779" w14:textId="3EBE2139" w:rsidR="00C028C6" w:rsidRPr="009E4D8F" w:rsidRDefault="009E4D8F" w:rsidP="00060041">
            <w:r w:rsidRPr="009E4D8F">
              <w:t>154.18</w:t>
            </w:r>
          </w:p>
        </w:tc>
      </w:tr>
      <w:tr w:rsidR="00C028C6" w:rsidRPr="009E4D8F" w14:paraId="0B1B2093" w14:textId="77777777" w:rsidTr="00C028C6">
        <w:tc>
          <w:tcPr>
            <w:tcW w:w="1126" w:type="dxa"/>
          </w:tcPr>
          <w:p w14:paraId="0BB952F7" w14:textId="46D1AEEA" w:rsidR="00C028C6" w:rsidRPr="009E4D8F" w:rsidRDefault="00FF7BC1" w:rsidP="00060041">
            <w:r w:rsidRPr="009E4D8F">
              <w:t>5884</w:t>
            </w:r>
          </w:p>
        </w:tc>
        <w:tc>
          <w:tcPr>
            <w:tcW w:w="1126" w:type="dxa"/>
          </w:tcPr>
          <w:p w14:paraId="5FB08626" w14:textId="04D27BB4" w:rsidR="00C028C6" w:rsidRPr="009E4D8F" w:rsidRDefault="00310F86" w:rsidP="00060041">
            <w:r w:rsidRPr="009E4D8F">
              <w:t>355091</w:t>
            </w:r>
          </w:p>
        </w:tc>
        <w:tc>
          <w:tcPr>
            <w:tcW w:w="1126" w:type="dxa"/>
          </w:tcPr>
          <w:p w14:paraId="12175765" w14:textId="28177878" w:rsidR="00C028C6" w:rsidRPr="009E4D8F" w:rsidRDefault="008944A6" w:rsidP="00060041">
            <w:r w:rsidRPr="009E4D8F">
              <w:t>350527</w:t>
            </w:r>
          </w:p>
        </w:tc>
        <w:tc>
          <w:tcPr>
            <w:tcW w:w="1126" w:type="dxa"/>
          </w:tcPr>
          <w:p w14:paraId="24806D46" w14:textId="30104520" w:rsidR="00C028C6" w:rsidRPr="009E4D8F" w:rsidRDefault="009E4D8F" w:rsidP="00060041">
            <w:r w:rsidRPr="009E4D8F">
              <w:t>98.71</w:t>
            </w:r>
          </w:p>
        </w:tc>
        <w:tc>
          <w:tcPr>
            <w:tcW w:w="1126" w:type="dxa"/>
          </w:tcPr>
          <w:p w14:paraId="6DECD704" w14:textId="6B2210AA" w:rsidR="00C028C6" w:rsidRPr="009E4D8F" w:rsidRDefault="009E4D8F" w:rsidP="00060041">
            <w:r w:rsidRPr="009E4D8F">
              <w:t>4564</w:t>
            </w:r>
          </w:p>
        </w:tc>
        <w:tc>
          <w:tcPr>
            <w:tcW w:w="1126" w:type="dxa"/>
          </w:tcPr>
          <w:p w14:paraId="3201A452" w14:textId="6B2AEBC6" w:rsidR="00C028C6" w:rsidRPr="009E4D8F" w:rsidRDefault="009E4D8F" w:rsidP="00060041">
            <w:r w:rsidRPr="009E4D8F">
              <w:t>1.29</w:t>
            </w:r>
          </w:p>
        </w:tc>
        <w:tc>
          <w:tcPr>
            <w:tcW w:w="1127" w:type="dxa"/>
          </w:tcPr>
          <w:p w14:paraId="0409BEFA" w14:textId="3EF7766F" w:rsidR="00C028C6" w:rsidRPr="009E4D8F" w:rsidRDefault="009E4D8F" w:rsidP="00060041">
            <w:r w:rsidRPr="009E4D8F">
              <w:t>4.02</w:t>
            </w:r>
          </w:p>
        </w:tc>
        <w:tc>
          <w:tcPr>
            <w:tcW w:w="1127" w:type="dxa"/>
          </w:tcPr>
          <w:p w14:paraId="04F0207D" w14:textId="00764694" w:rsidR="00C028C6" w:rsidRPr="009E4D8F" w:rsidRDefault="009E4D8F" w:rsidP="00060041">
            <w:r w:rsidRPr="009E4D8F">
              <w:t>187.03</w:t>
            </w:r>
          </w:p>
        </w:tc>
      </w:tr>
    </w:tbl>
    <w:p w14:paraId="7BBB58FD" w14:textId="123FC035" w:rsidR="00F81DE1" w:rsidRDefault="00A67C37" w:rsidP="00D74F40">
      <w:pPr>
        <w:jc w:val="center"/>
      </w:pPr>
      <w:r>
        <w:rPr>
          <w:b/>
        </w:rPr>
        <w:t xml:space="preserve">Virtual </w:t>
      </w:r>
      <w:r w:rsidR="00E23E48">
        <w:rPr>
          <w:b/>
        </w:rPr>
        <w:t xml:space="preserve">Packet </w:t>
      </w:r>
      <w:r w:rsidR="00D3673B">
        <w:rPr>
          <w:b/>
        </w:rPr>
        <w:t>N</w:t>
      </w:r>
      <w:r w:rsidR="00D3673B" w:rsidRPr="00D3673B">
        <w:rPr>
          <w:b/>
        </w:rPr>
        <w:t xml:space="preserve">etwork </w:t>
      </w:r>
      <w:r w:rsidR="00756DC7">
        <w:rPr>
          <w:b/>
        </w:rPr>
        <w:t>(SHP,</w:t>
      </w:r>
      <w:r w:rsidR="00EE4794">
        <w:rPr>
          <w:b/>
        </w:rPr>
        <w:t xml:space="preserve"> </w:t>
      </w:r>
      <w:r w:rsidR="00756DC7">
        <w:rPr>
          <w:b/>
        </w:rPr>
        <w:t>SDP,</w:t>
      </w:r>
      <w:r w:rsidR="00EE4794">
        <w:rPr>
          <w:b/>
        </w:rPr>
        <w:t xml:space="preserve"> </w:t>
      </w:r>
      <w:r w:rsidR="00756DC7">
        <w:rPr>
          <w:b/>
        </w:rPr>
        <w:t>LLP)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D74F40" w14:paraId="4C49512E" w14:textId="77777777" w:rsidTr="00D74F40">
        <w:tc>
          <w:tcPr>
            <w:tcW w:w="1126" w:type="dxa"/>
          </w:tcPr>
          <w:p w14:paraId="1B555EC5" w14:textId="7530256A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35216A48" w14:textId="0573395F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5DF72744" w14:textId="2F6DB5CB" w:rsidR="00D74F40" w:rsidRDefault="006C22B4" w:rsidP="00D74F40">
            <w:r w:rsidRPr="006C22B4">
              <w:t>340133</w:t>
            </w:r>
          </w:p>
        </w:tc>
        <w:tc>
          <w:tcPr>
            <w:tcW w:w="1126" w:type="dxa"/>
          </w:tcPr>
          <w:p w14:paraId="6DAA571C" w14:textId="58BC9936" w:rsidR="00D74F40" w:rsidRDefault="006C22B4" w:rsidP="00D74F40">
            <w:r w:rsidRPr="006C22B4">
              <w:t>94.23</w:t>
            </w:r>
          </w:p>
        </w:tc>
        <w:tc>
          <w:tcPr>
            <w:tcW w:w="1126" w:type="dxa"/>
          </w:tcPr>
          <w:p w14:paraId="3ADCAD3B" w14:textId="3FEEE854" w:rsidR="00D74F40" w:rsidRDefault="00BE54A2" w:rsidP="00D74F40">
            <w:r w:rsidRPr="00BE54A2">
              <w:t>20842</w:t>
            </w:r>
          </w:p>
        </w:tc>
        <w:tc>
          <w:tcPr>
            <w:tcW w:w="1126" w:type="dxa"/>
          </w:tcPr>
          <w:p w14:paraId="3EEE852E" w14:textId="220E5B21" w:rsidR="00D74F40" w:rsidRDefault="00BE54A2" w:rsidP="00D74F40">
            <w:r w:rsidRPr="00BE54A2">
              <w:t>5.77</w:t>
            </w:r>
          </w:p>
        </w:tc>
        <w:tc>
          <w:tcPr>
            <w:tcW w:w="1127" w:type="dxa"/>
          </w:tcPr>
          <w:p w14:paraId="5F77F9E5" w14:textId="5769D146" w:rsidR="00D74F40" w:rsidRDefault="00D62DB7" w:rsidP="00D74F40">
            <w:r w:rsidRPr="00D62DB7">
              <w:t>3.63</w:t>
            </w:r>
          </w:p>
        </w:tc>
        <w:tc>
          <w:tcPr>
            <w:tcW w:w="1127" w:type="dxa"/>
          </w:tcPr>
          <w:p w14:paraId="18BAAB46" w14:textId="48196128" w:rsidR="00D74F40" w:rsidRDefault="00D62DB7" w:rsidP="00D74F40">
            <w:r w:rsidRPr="00D62DB7">
              <w:t>164.35</w:t>
            </w:r>
          </w:p>
        </w:tc>
      </w:tr>
      <w:tr w:rsidR="00D74F40" w14:paraId="5BECAD0A" w14:textId="77777777" w:rsidTr="00D74F40">
        <w:tc>
          <w:tcPr>
            <w:tcW w:w="1126" w:type="dxa"/>
          </w:tcPr>
          <w:p w14:paraId="33BC26C1" w14:textId="53184E9D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54279A2C" w14:textId="53CE6666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0E525E95" w14:textId="16302B38" w:rsidR="00D74F40" w:rsidRDefault="0043133B" w:rsidP="00D74F40">
            <w:r w:rsidRPr="0043133B">
              <w:t>349378</w:t>
            </w:r>
          </w:p>
        </w:tc>
        <w:tc>
          <w:tcPr>
            <w:tcW w:w="1126" w:type="dxa"/>
          </w:tcPr>
          <w:p w14:paraId="09033061" w14:textId="08E42D91" w:rsidR="00D74F40" w:rsidRDefault="0062638D" w:rsidP="00D74F40">
            <w:r w:rsidRPr="0062638D">
              <w:t>96.79</w:t>
            </w:r>
          </w:p>
        </w:tc>
        <w:tc>
          <w:tcPr>
            <w:tcW w:w="1126" w:type="dxa"/>
          </w:tcPr>
          <w:p w14:paraId="5A63C032" w14:textId="1DBF40CA" w:rsidR="00D74F40" w:rsidRDefault="00D337F6" w:rsidP="00D74F40">
            <w:r w:rsidRPr="00D337F6">
              <w:t>11597</w:t>
            </w:r>
          </w:p>
        </w:tc>
        <w:tc>
          <w:tcPr>
            <w:tcW w:w="1126" w:type="dxa"/>
          </w:tcPr>
          <w:p w14:paraId="3FD11887" w14:textId="03925290" w:rsidR="00D74F40" w:rsidRDefault="00095F5E" w:rsidP="00D74F40">
            <w:r w:rsidRPr="00095F5E">
              <w:t>3.21</w:t>
            </w:r>
          </w:p>
        </w:tc>
        <w:tc>
          <w:tcPr>
            <w:tcW w:w="1127" w:type="dxa"/>
          </w:tcPr>
          <w:p w14:paraId="53A6CF21" w14:textId="1B50FB99" w:rsidR="00D74F40" w:rsidRDefault="007E7C7E" w:rsidP="00D74F40">
            <w:r w:rsidRPr="007E7C7E">
              <w:t>3.88</w:t>
            </w:r>
          </w:p>
        </w:tc>
        <w:tc>
          <w:tcPr>
            <w:tcW w:w="1127" w:type="dxa"/>
          </w:tcPr>
          <w:p w14:paraId="416507E5" w14:textId="4C5B4D8E" w:rsidR="00D74F40" w:rsidRDefault="006C0F7D" w:rsidP="00D74F40">
            <w:r w:rsidRPr="006C0F7D">
              <w:t>153.99</w:t>
            </w:r>
          </w:p>
        </w:tc>
      </w:tr>
      <w:tr w:rsidR="00D74F40" w14:paraId="74B8F4E6" w14:textId="77777777" w:rsidTr="00D74F40">
        <w:tc>
          <w:tcPr>
            <w:tcW w:w="1126" w:type="dxa"/>
          </w:tcPr>
          <w:p w14:paraId="21B73219" w14:textId="668CC7A8" w:rsidR="00D74F40" w:rsidRDefault="00FF7BC1" w:rsidP="00D74F40">
            <w:r w:rsidRPr="00FF7BC1">
              <w:t>5884</w:t>
            </w:r>
          </w:p>
        </w:tc>
        <w:tc>
          <w:tcPr>
            <w:tcW w:w="1126" w:type="dxa"/>
          </w:tcPr>
          <w:p w14:paraId="0C09BE47" w14:textId="303B3EC2" w:rsidR="00D74F40" w:rsidRDefault="00784C7C" w:rsidP="00D74F40">
            <w:r w:rsidRPr="00784C7C">
              <w:t>360975</w:t>
            </w:r>
          </w:p>
        </w:tc>
        <w:tc>
          <w:tcPr>
            <w:tcW w:w="1126" w:type="dxa"/>
          </w:tcPr>
          <w:p w14:paraId="6CD5716C" w14:textId="7F84D8FB" w:rsidR="00D74F40" w:rsidRDefault="005E25D1" w:rsidP="00D74F40">
            <w:r w:rsidRPr="005E25D1">
              <w:t>360704</w:t>
            </w:r>
          </w:p>
        </w:tc>
        <w:tc>
          <w:tcPr>
            <w:tcW w:w="1126" w:type="dxa"/>
          </w:tcPr>
          <w:p w14:paraId="536D2EF3" w14:textId="437188AF" w:rsidR="00D74F40" w:rsidRDefault="003F5B4D" w:rsidP="00D74F40">
            <w:r w:rsidRPr="003F5B4D">
              <w:t>99.92</w:t>
            </w:r>
          </w:p>
        </w:tc>
        <w:tc>
          <w:tcPr>
            <w:tcW w:w="1126" w:type="dxa"/>
          </w:tcPr>
          <w:p w14:paraId="1EAEFDB7" w14:textId="3B156A63" w:rsidR="00D74F40" w:rsidRDefault="004255CC" w:rsidP="00D74F40">
            <w:r w:rsidRPr="004255CC">
              <w:t>271</w:t>
            </w:r>
          </w:p>
        </w:tc>
        <w:tc>
          <w:tcPr>
            <w:tcW w:w="1126" w:type="dxa"/>
          </w:tcPr>
          <w:p w14:paraId="3A481C5D" w14:textId="1216A597" w:rsidR="00D74F40" w:rsidRDefault="0017127C" w:rsidP="00D74F40">
            <w:r w:rsidRPr="0017127C">
              <w:t>0.08</w:t>
            </w:r>
          </w:p>
        </w:tc>
        <w:tc>
          <w:tcPr>
            <w:tcW w:w="1127" w:type="dxa"/>
          </w:tcPr>
          <w:p w14:paraId="7B74EF2D" w14:textId="383FC89A" w:rsidR="00D74F40" w:rsidRDefault="003C51F1" w:rsidP="00D74F40">
            <w:r w:rsidRPr="003C51F1">
              <w:t>4.00</w:t>
            </w:r>
          </w:p>
        </w:tc>
        <w:tc>
          <w:tcPr>
            <w:tcW w:w="1127" w:type="dxa"/>
          </w:tcPr>
          <w:p w14:paraId="500897EB" w14:textId="7A29D9D9" w:rsidR="00D74F40" w:rsidRDefault="00DD6420" w:rsidP="00D74F40">
            <w:r w:rsidRPr="00DD6420">
              <w:t>184.96</w:t>
            </w:r>
          </w:p>
        </w:tc>
      </w:tr>
    </w:tbl>
    <w:p w14:paraId="7A4A5998" w14:textId="77777777" w:rsidR="00D74F40" w:rsidRDefault="00D74F40" w:rsidP="00D74F40"/>
    <w:p w14:paraId="40A5CE46" w14:textId="77777777" w:rsidR="009C5A1B" w:rsidRDefault="001D0808" w:rsidP="00D74F40">
      <w:pPr>
        <w:rPr>
          <w:b/>
          <w:sz w:val="28"/>
          <w:szCs w:val="28"/>
        </w:rPr>
      </w:pPr>
      <w:r w:rsidRPr="00CD3D3E">
        <w:rPr>
          <w:rFonts w:hint="eastAsia"/>
          <w:b/>
          <w:sz w:val="28"/>
          <w:szCs w:val="28"/>
        </w:rPr>
        <w:t>A</w:t>
      </w:r>
      <w:r w:rsidRPr="00CD3D3E">
        <w:rPr>
          <w:b/>
          <w:sz w:val="28"/>
          <w:szCs w:val="28"/>
        </w:rPr>
        <w:t>nalysis</w:t>
      </w:r>
    </w:p>
    <w:p w14:paraId="47E1B35A" w14:textId="77777777" w:rsidR="00346671" w:rsidRDefault="00346671" w:rsidP="00346671">
      <w:r>
        <w:t xml:space="preserve">Shortest </w:t>
      </w:r>
      <w:r>
        <w:rPr>
          <w:lang w:val="en-US"/>
        </w:rPr>
        <w:t xml:space="preserve">hops protocol(SHP) always chooses the path which has the least sum of hops so </w:t>
      </w:r>
      <w:r>
        <w:t xml:space="preserve">average number of hops per circuit is the smallest among three </w:t>
      </w:r>
      <w:r>
        <w:rPr>
          <w:lang w:val="en-US"/>
        </w:rPr>
        <w:t>protocols</w:t>
      </w:r>
      <w:r>
        <w:t xml:space="preserve">. Shortest delay </w:t>
      </w:r>
      <w:r>
        <w:rPr>
          <w:lang w:val="en-US"/>
        </w:rPr>
        <w:t xml:space="preserve">protocol(SDP) always chooses the path which has the least sum of delays. That’s why SDP has the least </w:t>
      </w:r>
      <w:r>
        <w:t xml:space="preserve">average cumulative propagation delay per circuit. However, it is very difficult to tell which scheme should have a higher percentage of successfully routed packets between SHP and SDP because the ways they choose paths are not depend on capacity or used capacity. </w:t>
      </w:r>
      <w:r w:rsidRPr="00220A0B">
        <w:t>Least Loaded Path (LLP)</w:t>
      </w:r>
      <w:r>
        <w:t xml:space="preserve"> always </w:t>
      </w:r>
      <w:r w:rsidRPr="002524D1">
        <w:t>find</w:t>
      </w:r>
      <w:r>
        <w:t>s</w:t>
      </w:r>
      <w:r w:rsidRPr="002524D1">
        <w:t xml:space="preserve"> the least loaded path currently available from the source to the destination</w:t>
      </w:r>
      <w:r>
        <w:t>. This algorithm may have the biggest average number of hops and average cumulative propagation delay per circuit, however, it should have the highest percentage of successfully routed packets.</w:t>
      </w:r>
    </w:p>
    <w:p w14:paraId="78008B02" w14:textId="58319FD4" w:rsidR="00346671" w:rsidRPr="009172B0" w:rsidRDefault="009172B0" w:rsidP="00D74F40">
      <w:r w:rsidRPr="009172B0">
        <w:t>Totally</w:t>
      </w:r>
      <w:r>
        <w:t>, virtual packet n</w:t>
      </w:r>
      <w:r w:rsidRPr="009172B0">
        <w:t>etwork</w:t>
      </w:r>
      <w:r>
        <w:t xml:space="preserve"> performs better than </w:t>
      </w:r>
      <w:r w:rsidR="00130E81">
        <w:t>virtual circuit n</w:t>
      </w:r>
      <w:r w:rsidR="00130E81" w:rsidRPr="009172B0">
        <w:t>etwork</w:t>
      </w:r>
      <w:r w:rsidR="00C8207D">
        <w:t>,</w:t>
      </w:r>
      <w:r w:rsidR="00D4107B">
        <w:t xml:space="preserve"> </w:t>
      </w:r>
      <w:proofErr w:type="gramStart"/>
      <w:r w:rsidR="00130E81">
        <w:t>according to</w:t>
      </w:r>
      <w:proofErr w:type="gramEnd"/>
      <w:r w:rsidR="00130E81">
        <w:t xml:space="preserve"> the percentage of successfully routed packets</w:t>
      </w:r>
      <w:r w:rsidR="006C54F5">
        <w:t xml:space="preserve">. Because </w:t>
      </w:r>
      <w:r w:rsidR="00AB72A0">
        <w:t xml:space="preserve">the packets of </w:t>
      </w:r>
      <w:r w:rsidR="006C54F5">
        <w:t>virtual circuit n</w:t>
      </w:r>
      <w:r w:rsidR="006C54F5" w:rsidRPr="009172B0">
        <w:t>etwork</w:t>
      </w:r>
      <w:r w:rsidR="00AB72A0">
        <w:t xml:space="preserve"> follow</w:t>
      </w:r>
      <w:r w:rsidR="00AB72A0" w:rsidRPr="00AB72A0">
        <w:t xml:space="preserve"> the same path for transmitting </w:t>
      </w:r>
      <w:r w:rsidR="005418A9">
        <w:t>once the connection has been established.</w:t>
      </w:r>
      <w:r w:rsidR="00214413">
        <w:t xml:space="preserve"> If the chosen has been blocked, then all packets will be blocked. However, </w:t>
      </w:r>
      <w:r w:rsidR="004C5FC7">
        <w:t xml:space="preserve">the packets in virtual </w:t>
      </w:r>
      <w:r w:rsidR="004C5FC7">
        <w:lastRenderedPageBreak/>
        <w:t>packet n</w:t>
      </w:r>
      <w:r w:rsidR="004C5FC7" w:rsidRPr="009172B0">
        <w:t>etwork</w:t>
      </w:r>
      <w:r w:rsidR="004C5FC7">
        <w:t xml:space="preserve"> choose path</w:t>
      </w:r>
      <w:r w:rsidR="009100DF">
        <w:t>s</w:t>
      </w:r>
      <w:r w:rsidR="004C5FC7">
        <w:t xml:space="preserve"> </w:t>
      </w:r>
      <w:r w:rsidR="00DC483B">
        <w:t>independently</w:t>
      </w:r>
      <w:r w:rsidR="006D63F9">
        <w:t xml:space="preserve"> and the</w:t>
      </w:r>
      <w:r w:rsidR="00A90421">
        <w:t>y</w:t>
      </w:r>
      <w:r w:rsidR="006D63F9">
        <w:t xml:space="preserve"> don’t affect each other.</w:t>
      </w:r>
      <w:r w:rsidR="00A90421">
        <w:t xml:space="preserve"> That’s why percentage of successfully routed packets of virtual packet n</w:t>
      </w:r>
      <w:r w:rsidR="00A90421" w:rsidRPr="009172B0">
        <w:t>etwork</w:t>
      </w:r>
      <w:r w:rsidR="00A90421">
        <w:t xml:space="preserve"> is higher than the other.</w:t>
      </w:r>
    </w:p>
    <w:p w14:paraId="75F35240" w14:textId="77777777" w:rsidR="00A20A4E" w:rsidRDefault="00A20A4E" w:rsidP="00D74F40">
      <w:pPr>
        <w:rPr>
          <w:b/>
          <w:sz w:val="28"/>
          <w:szCs w:val="28"/>
        </w:rPr>
      </w:pPr>
    </w:p>
    <w:p w14:paraId="0159B4FB" w14:textId="7917F456" w:rsidR="007D2DFA" w:rsidRDefault="007D2DFA" w:rsidP="00D74F40">
      <w:pPr>
        <w:rPr>
          <w:rFonts w:hint="eastAsia"/>
          <w:b/>
          <w:sz w:val="28"/>
          <w:szCs w:val="28"/>
        </w:rPr>
      </w:pPr>
      <w:r w:rsidRPr="00AA17BC">
        <w:rPr>
          <w:b/>
          <w:sz w:val="28"/>
          <w:szCs w:val="28"/>
        </w:rPr>
        <w:t>Virtual packet network</w:t>
      </w:r>
    </w:p>
    <w:p w14:paraId="4C2827DD" w14:textId="28D98D4B" w:rsidR="004F7FF9" w:rsidRPr="007B0BB9" w:rsidRDefault="004F7FF9" w:rsidP="00D74F40">
      <w:pPr>
        <w:rPr>
          <w:b/>
          <w:color w:val="538135" w:themeColor="accent6" w:themeShade="BF"/>
        </w:rPr>
      </w:pPr>
      <w:r w:rsidRPr="007B0BB9">
        <w:rPr>
          <w:b/>
          <w:color w:val="538135" w:themeColor="accent6" w:themeShade="BF"/>
        </w:rPr>
        <w:t>If the packet rate is larger than 3, it will take more than 5 minutes to get the result!</w:t>
      </w:r>
    </w:p>
    <w:p w14:paraId="78A4DB63" w14:textId="1C27D10B" w:rsidR="00220A0B" w:rsidRDefault="004A5C4D" w:rsidP="00FB7582">
      <w:pPr>
        <w:jc w:val="center"/>
      </w:pPr>
      <w:r>
        <w:rPr>
          <w:noProof/>
        </w:rPr>
        <w:drawing>
          <wp:inline distT="0" distB="0" distL="0" distR="0" wp14:anchorId="3E8B5DB3" wp14:editId="3F6B64DE">
            <wp:extent cx="4509135" cy="2705481"/>
            <wp:effectExtent l="0" t="0" r="1206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177" cy="27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C89B" w14:textId="5B469289" w:rsidR="00FB7582" w:rsidRDefault="00C54EE5" w:rsidP="00C54EE5">
      <w:pPr>
        <w:jc w:val="center"/>
      </w:pPr>
      <w:r>
        <w:t>Figuer1</w:t>
      </w:r>
    </w:p>
    <w:p w14:paraId="3491103B" w14:textId="3707A08D" w:rsidR="00B92AD3" w:rsidRDefault="00E74A06" w:rsidP="00FB7582">
      <w:pPr>
        <w:jc w:val="center"/>
      </w:pPr>
      <w:r>
        <w:rPr>
          <w:noProof/>
        </w:rPr>
        <w:drawing>
          <wp:inline distT="0" distB="0" distL="0" distR="0" wp14:anchorId="3AA72541" wp14:editId="714209F1">
            <wp:extent cx="4509135" cy="27711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D7ECEA" w14:textId="3DC00EFB" w:rsidR="00F60B25" w:rsidRDefault="00F60B25" w:rsidP="00F60B25">
      <w:pPr>
        <w:jc w:val="center"/>
      </w:pPr>
      <w:r>
        <w:t>Figuer2</w:t>
      </w:r>
    </w:p>
    <w:p w14:paraId="68652647" w14:textId="3661CE78" w:rsidR="00623AC2" w:rsidRDefault="00623AC2" w:rsidP="00FB7582">
      <w:pPr>
        <w:jc w:val="center"/>
      </w:pPr>
      <w:r>
        <w:rPr>
          <w:noProof/>
        </w:rPr>
        <w:drawing>
          <wp:inline distT="0" distB="0" distL="0" distR="0" wp14:anchorId="613A9986" wp14:editId="202091E8">
            <wp:extent cx="4572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17AB" w14:textId="5F90C355" w:rsidR="00BD7F76" w:rsidRDefault="00BD7F76" w:rsidP="00BD7F76">
      <w:pPr>
        <w:jc w:val="center"/>
      </w:pPr>
      <w:r>
        <w:t>Figuer3</w:t>
      </w:r>
    </w:p>
    <w:p w14:paraId="24B5D062" w14:textId="3A4E470D" w:rsidR="00924649" w:rsidRDefault="00047018" w:rsidP="00047018">
      <w:r w:rsidRPr="006A18E6">
        <w:rPr>
          <w:b/>
        </w:rPr>
        <w:t>Figuer1</w:t>
      </w:r>
      <w:r>
        <w:t>:</w:t>
      </w:r>
      <w:r w:rsidR="00B96746">
        <w:t xml:space="preserve"> </w:t>
      </w:r>
      <w:r w:rsidR="00BC5BAE" w:rsidRPr="00220A0B">
        <w:t>Least Loaded Path (LLP)</w:t>
      </w:r>
      <w:r w:rsidR="00BC5BAE">
        <w:t xml:space="preserve"> always </w:t>
      </w:r>
      <w:r w:rsidR="00BC5BAE" w:rsidRPr="002524D1">
        <w:t>find</w:t>
      </w:r>
      <w:r w:rsidR="00BC5BAE">
        <w:t>s</w:t>
      </w:r>
      <w:r w:rsidR="00BC5BAE" w:rsidRPr="002524D1">
        <w:t xml:space="preserve"> the least loaded path currently available from the source to the destination</w:t>
      </w:r>
      <w:r w:rsidR="00BC5BAE">
        <w:t xml:space="preserve">. </w:t>
      </w:r>
      <w:proofErr w:type="gramStart"/>
      <w:r w:rsidR="00067717">
        <w:t>So</w:t>
      </w:r>
      <w:proofErr w:type="gramEnd"/>
      <w:r w:rsidR="00067717">
        <w:t xml:space="preserve"> the path it chooses has the lowest possibility to be blocked</w:t>
      </w:r>
      <w:r w:rsidR="00CA30A4">
        <w:t>.</w:t>
      </w:r>
    </w:p>
    <w:p w14:paraId="72E9227F" w14:textId="1C1D3CE6" w:rsidR="008E504D" w:rsidRDefault="00D40DBC" w:rsidP="00047018">
      <w:r w:rsidRPr="006A18E6">
        <w:rPr>
          <w:b/>
        </w:rPr>
        <w:t>Figuer2</w:t>
      </w:r>
      <w:r w:rsidR="008E504D" w:rsidRPr="006A18E6">
        <w:rPr>
          <w:b/>
        </w:rPr>
        <w:t>:</w:t>
      </w:r>
      <w:r w:rsidR="00945A47" w:rsidRPr="00945A47">
        <w:t xml:space="preserve"> </w:t>
      </w:r>
      <w:r w:rsidR="00945A47">
        <w:t xml:space="preserve">Shortest delay </w:t>
      </w:r>
      <w:r w:rsidR="00945A47">
        <w:rPr>
          <w:lang w:val="en-US"/>
        </w:rPr>
        <w:t xml:space="preserve">protocol(SDP) always chooses the path which has the least sum of delays. That’s why SDP has the least </w:t>
      </w:r>
      <w:r w:rsidR="00945A47">
        <w:t>average cumulative propagation delay per circuit.</w:t>
      </w:r>
    </w:p>
    <w:p w14:paraId="5DB24604" w14:textId="78ECF505" w:rsidR="00F55497" w:rsidRDefault="00F55497" w:rsidP="00047018">
      <w:pPr>
        <w:rPr>
          <w:rFonts w:hint="eastAsia"/>
        </w:rPr>
      </w:pPr>
      <w:r w:rsidRPr="006A18E6">
        <w:rPr>
          <w:b/>
        </w:rPr>
        <w:t>Figuer3</w:t>
      </w:r>
      <w:r>
        <w:t>:</w:t>
      </w:r>
      <w:r w:rsidR="00EA781B" w:rsidRPr="00EA781B">
        <w:t xml:space="preserve"> </w:t>
      </w:r>
      <w:r w:rsidR="00EA781B">
        <w:t xml:space="preserve">Shortest </w:t>
      </w:r>
      <w:r w:rsidR="00EA781B">
        <w:rPr>
          <w:lang w:val="en-US"/>
        </w:rPr>
        <w:t xml:space="preserve">hops protocol(SHP) always chooses the path which has the least sum of hops so </w:t>
      </w:r>
      <w:r w:rsidR="00EA781B">
        <w:t xml:space="preserve">average number of hops per circuit is the smallest among three </w:t>
      </w:r>
      <w:r w:rsidR="00EA781B">
        <w:rPr>
          <w:lang w:val="en-US"/>
        </w:rPr>
        <w:t>protocols</w:t>
      </w:r>
      <w:r w:rsidR="00EA781B">
        <w:t>.</w:t>
      </w:r>
    </w:p>
    <w:p w14:paraId="64EC0410" w14:textId="77777777" w:rsidR="0080072C" w:rsidRDefault="0080072C" w:rsidP="00047018">
      <w:pPr>
        <w:rPr>
          <w:rFonts w:hint="eastAsia"/>
        </w:rPr>
      </w:pPr>
    </w:p>
    <w:p w14:paraId="4D64CD5A" w14:textId="25B3BAAE" w:rsidR="0080072C" w:rsidRPr="00BD04A1" w:rsidRDefault="0080072C" w:rsidP="00047018">
      <w:pPr>
        <w:rPr>
          <w:rFonts w:hint="eastAsia"/>
        </w:rPr>
      </w:pPr>
      <w:r w:rsidRPr="0080072C">
        <w:t>https://www.youtube.com/watch?v=o4Sq9sqJTMg</w:t>
      </w:r>
      <w:bookmarkStart w:id="0" w:name="_GoBack"/>
      <w:bookmarkEnd w:id="0"/>
    </w:p>
    <w:sectPr w:rsidR="0080072C" w:rsidRPr="00BD04A1" w:rsidSect="008E7C3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48"/>
    <w:rsid w:val="00002F66"/>
    <w:rsid w:val="00004D00"/>
    <w:rsid w:val="00014CF4"/>
    <w:rsid w:val="00047018"/>
    <w:rsid w:val="00060041"/>
    <w:rsid w:val="0006132D"/>
    <w:rsid w:val="00067717"/>
    <w:rsid w:val="0007334D"/>
    <w:rsid w:val="00095F5E"/>
    <w:rsid w:val="000B2C56"/>
    <w:rsid w:val="000C551A"/>
    <w:rsid w:val="000D50D5"/>
    <w:rsid w:val="000D5875"/>
    <w:rsid w:val="000E4353"/>
    <w:rsid w:val="000F045D"/>
    <w:rsid w:val="001226DA"/>
    <w:rsid w:val="00130E81"/>
    <w:rsid w:val="00153082"/>
    <w:rsid w:val="0017127C"/>
    <w:rsid w:val="001726A9"/>
    <w:rsid w:val="00196FAE"/>
    <w:rsid w:val="001B5D3B"/>
    <w:rsid w:val="001D0808"/>
    <w:rsid w:val="001F3A75"/>
    <w:rsid w:val="001F4B53"/>
    <w:rsid w:val="00214413"/>
    <w:rsid w:val="00220A0B"/>
    <w:rsid w:val="00226F79"/>
    <w:rsid w:val="002524D1"/>
    <w:rsid w:val="00262949"/>
    <w:rsid w:val="00276354"/>
    <w:rsid w:val="0028252D"/>
    <w:rsid w:val="00294A1C"/>
    <w:rsid w:val="00296844"/>
    <w:rsid w:val="002972BD"/>
    <w:rsid w:val="002A5D5D"/>
    <w:rsid w:val="002B3CB5"/>
    <w:rsid w:val="002D513C"/>
    <w:rsid w:val="002F0D91"/>
    <w:rsid w:val="002F7FF0"/>
    <w:rsid w:val="0030710C"/>
    <w:rsid w:val="00310F86"/>
    <w:rsid w:val="00317795"/>
    <w:rsid w:val="00346671"/>
    <w:rsid w:val="003631A1"/>
    <w:rsid w:val="003640EB"/>
    <w:rsid w:val="00366C47"/>
    <w:rsid w:val="003A140A"/>
    <w:rsid w:val="003B16FC"/>
    <w:rsid w:val="003C0183"/>
    <w:rsid w:val="003C51F1"/>
    <w:rsid w:val="003C5DD3"/>
    <w:rsid w:val="003E01B6"/>
    <w:rsid w:val="003F0E91"/>
    <w:rsid w:val="003F550D"/>
    <w:rsid w:val="003F5B4D"/>
    <w:rsid w:val="00400BE8"/>
    <w:rsid w:val="0040413E"/>
    <w:rsid w:val="0041461E"/>
    <w:rsid w:val="004255CC"/>
    <w:rsid w:val="0043133B"/>
    <w:rsid w:val="0043424B"/>
    <w:rsid w:val="00444EF4"/>
    <w:rsid w:val="00467631"/>
    <w:rsid w:val="004845E0"/>
    <w:rsid w:val="00494A31"/>
    <w:rsid w:val="004A5C4D"/>
    <w:rsid w:val="004A6416"/>
    <w:rsid w:val="004B6084"/>
    <w:rsid w:val="004C436E"/>
    <w:rsid w:val="004C5311"/>
    <w:rsid w:val="004C5FC7"/>
    <w:rsid w:val="004F6BD6"/>
    <w:rsid w:val="004F7DCC"/>
    <w:rsid w:val="004F7FF9"/>
    <w:rsid w:val="005219E2"/>
    <w:rsid w:val="005254B0"/>
    <w:rsid w:val="00540AE9"/>
    <w:rsid w:val="005418A9"/>
    <w:rsid w:val="0054600C"/>
    <w:rsid w:val="00553C34"/>
    <w:rsid w:val="005547CF"/>
    <w:rsid w:val="00555BA8"/>
    <w:rsid w:val="005903BC"/>
    <w:rsid w:val="005A0FC5"/>
    <w:rsid w:val="005B2648"/>
    <w:rsid w:val="005E25D1"/>
    <w:rsid w:val="005F25AC"/>
    <w:rsid w:val="006213EE"/>
    <w:rsid w:val="00623AC2"/>
    <w:rsid w:val="00623E4B"/>
    <w:rsid w:val="0062638D"/>
    <w:rsid w:val="00634FA2"/>
    <w:rsid w:val="0066722D"/>
    <w:rsid w:val="0069138B"/>
    <w:rsid w:val="006938F5"/>
    <w:rsid w:val="006A18E6"/>
    <w:rsid w:val="006A5221"/>
    <w:rsid w:val="006B079A"/>
    <w:rsid w:val="006C0F7D"/>
    <w:rsid w:val="006C22B4"/>
    <w:rsid w:val="006C54F5"/>
    <w:rsid w:val="006D2C9E"/>
    <w:rsid w:val="006D63F9"/>
    <w:rsid w:val="00731EEC"/>
    <w:rsid w:val="007446D1"/>
    <w:rsid w:val="00750BC0"/>
    <w:rsid w:val="00756DC7"/>
    <w:rsid w:val="00784C7C"/>
    <w:rsid w:val="007A7D68"/>
    <w:rsid w:val="007B0BB9"/>
    <w:rsid w:val="007B7547"/>
    <w:rsid w:val="007C6B6F"/>
    <w:rsid w:val="007D2DFA"/>
    <w:rsid w:val="007E67ED"/>
    <w:rsid w:val="007E7C7E"/>
    <w:rsid w:val="0080072C"/>
    <w:rsid w:val="00807486"/>
    <w:rsid w:val="00813063"/>
    <w:rsid w:val="00840DC5"/>
    <w:rsid w:val="008574E4"/>
    <w:rsid w:val="00860AD7"/>
    <w:rsid w:val="00873357"/>
    <w:rsid w:val="00893E94"/>
    <w:rsid w:val="008944A6"/>
    <w:rsid w:val="008B04B1"/>
    <w:rsid w:val="008B6E91"/>
    <w:rsid w:val="008D2C1B"/>
    <w:rsid w:val="008E504D"/>
    <w:rsid w:val="008E7C32"/>
    <w:rsid w:val="008F0ECF"/>
    <w:rsid w:val="00905854"/>
    <w:rsid w:val="009100DF"/>
    <w:rsid w:val="0091423A"/>
    <w:rsid w:val="009172B0"/>
    <w:rsid w:val="00924649"/>
    <w:rsid w:val="00926F6A"/>
    <w:rsid w:val="009420B5"/>
    <w:rsid w:val="00945A47"/>
    <w:rsid w:val="00951D33"/>
    <w:rsid w:val="009B1495"/>
    <w:rsid w:val="009B1D63"/>
    <w:rsid w:val="009C5A1B"/>
    <w:rsid w:val="009C62B0"/>
    <w:rsid w:val="009D2703"/>
    <w:rsid w:val="009D5036"/>
    <w:rsid w:val="009E4D8F"/>
    <w:rsid w:val="00A038AD"/>
    <w:rsid w:val="00A20A4E"/>
    <w:rsid w:val="00A42246"/>
    <w:rsid w:val="00A45A1E"/>
    <w:rsid w:val="00A54AB1"/>
    <w:rsid w:val="00A653B9"/>
    <w:rsid w:val="00A67C37"/>
    <w:rsid w:val="00A74FC7"/>
    <w:rsid w:val="00A84E3B"/>
    <w:rsid w:val="00A90421"/>
    <w:rsid w:val="00AA17BC"/>
    <w:rsid w:val="00AA75DF"/>
    <w:rsid w:val="00AB0EEE"/>
    <w:rsid w:val="00AB3A4F"/>
    <w:rsid w:val="00AB72A0"/>
    <w:rsid w:val="00AC5E98"/>
    <w:rsid w:val="00AC6F22"/>
    <w:rsid w:val="00AE08A0"/>
    <w:rsid w:val="00AF7553"/>
    <w:rsid w:val="00B04653"/>
    <w:rsid w:val="00B21EC4"/>
    <w:rsid w:val="00B375BE"/>
    <w:rsid w:val="00B73A01"/>
    <w:rsid w:val="00B764B8"/>
    <w:rsid w:val="00B92AD3"/>
    <w:rsid w:val="00B96746"/>
    <w:rsid w:val="00B96AD1"/>
    <w:rsid w:val="00B97921"/>
    <w:rsid w:val="00BC5BAE"/>
    <w:rsid w:val="00BD04A1"/>
    <w:rsid w:val="00BD7F76"/>
    <w:rsid w:val="00BE3DC7"/>
    <w:rsid w:val="00BE54A2"/>
    <w:rsid w:val="00BF1D08"/>
    <w:rsid w:val="00C028C6"/>
    <w:rsid w:val="00C06CD6"/>
    <w:rsid w:val="00C12669"/>
    <w:rsid w:val="00C13413"/>
    <w:rsid w:val="00C35065"/>
    <w:rsid w:val="00C45038"/>
    <w:rsid w:val="00C54EE5"/>
    <w:rsid w:val="00C7280D"/>
    <w:rsid w:val="00C8207D"/>
    <w:rsid w:val="00C82DA4"/>
    <w:rsid w:val="00C84E2E"/>
    <w:rsid w:val="00C8571F"/>
    <w:rsid w:val="00CA30A4"/>
    <w:rsid w:val="00CA6D61"/>
    <w:rsid w:val="00CD3D3E"/>
    <w:rsid w:val="00CE1705"/>
    <w:rsid w:val="00D337F6"/>
    <w:rsid w:val="00D35763"/>
    <w:rsid w:val="00D3673B"/>
    <w:rsid w:val="00D40DBC"/>
    <w:rsid w:val="00D4107B"/>
    <w:rsid w:val="00D62DB7"/>
    <w:rsid w:val="00D65229"/>
    <w:rsid w:val="00D74F40"/>
    <w:rsid w:val="00D831B7"/>
    <w:rsid w:val="00D84A24"/>
    <w:rsid w:val="00D873B2"/>
    <w:rsid w:val="00DC0148"/>
    <w:rsid w:val="00DC483B"/>
    <w:rsid w:val="00DD6420"/>
    <w:rsid w:val="00DF03D7"/>
    <w:rsid w:val="00E00B3E"/>
    <w:rsid w:val="00E1245E"/>
    <w:rsid w:val="00E20132"/>
    <w:rsid w:val="00E23E48"/>
    <w:rsid w:val="00E30C14"/>
    <w:rsid w:val="00E511FA"/>
    <w:rsid w:val="00E55482"/>
    <w:rsid w:val="00E72AF5"/>
    <w:rsid w:val="00E74A06"/>
    <w:rsid w:val="00EA2EF4"/>
    <w:rsid w:val="00EA781B"/>
    <w:rsid w:val="00EA7DCB"/>
    <w:rsid w:val="00EB27F0"/>
    <w:rsid w:val="00EB5B22"/>
    <w:rsid w:val="00EC147B"/>
    <w:rsid w:val="00EE4794"/>
    <w:rsid w:val="00EF67D0"/>
    <w:rsid w:val="00EF7793"/>
    <w:rsid w:val="00F00857"/>
    <w:rsid w:val="00F14111"/>
    <w:rsid w:val="00F15769"/>
    <w:rsid w:val="00F21FEA"/>
    <w:rsid w:val="00F22036"/>
    <w:rsid w:val="00F30A14"/>
    <w:rsid w:val="00F55497"/>
    <w:rsid w:val="00F60B25"/>
    <w:rsid w:val="00F81DE1"/>
    <w:rsid w:val="00FB7582"/>
    <w:rsid w:val="00FD1DB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467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chart" Target="charts/chart1.xml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rtuesday/Desktop/Workbook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cumulative propagation delay per circuit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SHP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Sheet1!$A$1:$E$1</c:f>
              <c:numCache>
                <c:formatCode>General</c:formatCode>
                <c:ptCount val="5"/>
                <c:pt idx="0">
                  <c:v>164.33</c:v>
                </c:pt>
                <c:pt idx="1">
                  <c:v>164.35</c:v>
                </c:pt>
                <c:pt idx="2">
                  <c:v>165.07</c:v>
                </c:pt>
                <c:pt idx="3">
                  <c:v>164.27</c:v>
                </c:pt>
                <c:pt idx="4">
                  <c:v>165.54</c:v>
                </c:pt>
              </c:numCache>
            </c:numRef>
          </c:val>
          <c:smooth val="0"/>
        </c:ser>
        <c:ser>
          <c:idx val="1"/>
          <c:order val="1"/>
          <c:tx>
            <c:v>SDP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Sheet1!$A$2:$E$2</c:f>
              <c:numCache>
                <c:formatCode>General</c:formatCode>
                <c:ptCount val="5"/>
                <c:pt idx="0">
                  <c:v>153.96</c:v>
                </c:pt>
                <c:pt idx="1">
                  <c:v>153.99</c:v>
                </c:pt>
                <c:pt idx="2">
                  <c:v>154.07</c:v>
                </c:pt>
                <c:pt idx="3">
                  <c:v>154.11</c:v>
                </c:pt>
                <c:pt idx="4">
                  <c:v>153.98</c:v>
                </c:pt>
              </c:numCache>
            </c:numRef>
          </c:val>
          <c:smooth val="0"/>
        </c:ser>
        <c:ser>
          <c:idx val="2"/>
          <c:order val="2"/>
          <c:tx>
            <c:v>LLP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Sheet1!$A$3:$E$3</c:f>
              <c:numCache>
                <c:formatCode>General</c:formatCode>
                <c:ptCount val="5"/>
                <c:pt idx="0">
                  <c:v>184.98</c:v>
                </c:pt>
                <c:pt idx="1">
                  <c:v>184.96</c:v>
                </c:pt>
                <c:pt idx="2">
                  <c:v>185.59</c:v>
                </c:pt>
                <c:pt idx="3">
                  <c:v>184.75</c:v>
                </c:pt>
                <c:pt idx="4">
                  <c:v>186.03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56049872"/>
        <c:axId val="-1356047824"/>
      </c:lineChart>
      <c:catAx>
        <c:axId val="-1356049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56047824"/>
        <c:crosses val="autoZero"/>
        <c:auto val="1"/>
        <c:lblAlgn val="ctr"/>
        <c:lblOffset val="100"/>
        <c:noMultiLvlLbl val="0"/>
      </c:catAx>
      <c:valAx>
        <c:axId val="-1356047824"/>
        <c:scaling>
          <c:orientation val="minMax"/>
          <c:min val="14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35604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04FE73-BF70-DD4E-A2FB-E254070B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597</Words>
  <Characters>3403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Jintao Wang</dc:creator>
  <cp:keywords/>
  <dc:description/>
  <cp:lastModifiedBy>Jintao Wang</cp:lastModifiedBy>
  <cp:revision>475</cp:revision>
  <dcterms:created xsi:type="dcterms:W3CDTF">2017-10-16T08:43:00Z</dcterms:created>
  <dcterms:modified xsi:type="dcterms:W3CDTF">2017-10-21T13:20:00Z</dcterms:modified>
  <cp:category/>
</cp:coreProperties>
</file>