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4E79"/>
          <w:sz w:val="56"/>
          <w:szCs w:val="56"/>
        </w:rPr>
        <w:t xml:space="preserve">ChemSource AI</w:t>
      </w:r>
    </w:p>
    <w:p>
      <w:pPr>
        <w:spacing w:after="80"/>
        <w:jc w:val="center"/>
      </w:pPr>
      <w:r>
        <w:rPr>
          <w:color w:val="2E5F8A"/>
          <w:sz w:val="28"/>
          <w:szCs w:val="28"/>
        </w:rPr>
        <w:t xml:space="preserve">ИИ-ассистент закупок химического сырья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Автоматизация сбора ценовых предложений и квалификации поставщиков</w:t>
      </w:r>
    </w:p>
    <w:p>
      <w:pPr>
        <w:spacing w:after="80"/>
        <w:jc w:val="center"/>
      </w:pPr>
      <w:r>
        <w:rPr>
          <w:sz w:val="20"/>
          <w:szCs w:val="20"/>
        </w:rPr>
        <w:t xml:space="preserve">План реализации проекта</w:t>
      </w:r>
    </w:p>
    <w:p>
      <w:pPr>
        <w:spacing w:after="80"/>
        <w:jc w:val="center"/>
      </w:pPr>
      <w:r>
        <w:rPr>
          <w:color w:val="555555"/>
          <w:sz w:val="18"/>
          <w:szCs w:val="18"/>
        </w:rPr>
        <w:t xml:space="preserve">Направление: агро и биотех · Итоговый продукт: on-premise ИИ-ассистент с веб-интерфейсом</w:t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Дата: 02.06.2026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Резюме проекта</w:t>
      </w:r>
    </w:p>
    <w:p>
      <w:pPr>
        <w:spacing w:after="120" w:before="0" w:line="276"/>
      </w:pPr>
      <w:r>
        <w:t xml:space="preserve">Закупка химического сырья сегодня — трудоёмкий ручной процесс: специалист регистрирует запросы, ищет поставщиков и производителей, ведёт переписку с десятками контактов (преимущественно китайских) и вручную сводит ответы воедино. Ответы приходят в произвольном формате и часто без ключевых данных — цены, базиса поставки, спецификации (TDS) или сертификата анализа (CoA).</w:t>
      </w:r>
    </w:p>
    <w:p>
      <w:pPr>
        <w:spacing w:after="120" w:before="0" w:line="276"/>
      </w:pPr>
      <w:r>
        <w:t xml:space="preserve">ChemSource AI — on-premise ИИ-ассистент для отдела закупок. По базовым параметрам продукта (CAS-номер, наименование, чистота, применение, ценовой ориентир) он проверяет вещество по CAS-номеру (PubChem; Echemi оставлен заглушкой в интерфейсе под будущую интеграцию), формирует стандартизированные RFQ, ведёт первичную переписку с поставщиками по email и WhatsApp, извлекает структурированные данные из ответов и сводит их в сопоставимую таблицу для финального решения специалиста по базисам CIP Moscow / FCA Shanghai / EXW.</w:t>
      </w:r>
    </w:p>
    <w:p>
      <w:pPr>
        <w:spacing w:after="120" w:line="276"/>
      </w:pPr>
      <w:r>
        <w:rPr>
          <w:b/>
          <w:bCs/>
        </w:rPr>
        <w:t xml:space="preserve">Ожидаемый эффект (гипотеза, подлежит подтверждению на baseline заказчика): </w:t>
      </w:r>
      <w:r>
        <w:t xml:space="preserve">сокращение времени первичного сорсинга, стандартизация запросов, единая сопоставимая картина по условиям поставки и снижение доли ручной рутины специалиста. Конкретные целевые значения и способ их замера приведены в разделе 2.</w:t>
      </w:r>
    </w:p>
    <w:p>
      <w:pPr>
        <w:spacing w:after="120" w:before="0" w:line="276"/>
      </w:pPr>
      <w:r>
        <w:rPr>
          <w:i/>
          <w:iCs/>
        </w:rPr>
        <w:t xml:space="preserve">Важно: эффект «с 7–10 до 1–3 дней» — это гипотеза. До старта необходимо зафиксировать текущие показатели (baseline): сколько времени и контактов занимает один сорсинг сейчас, какова доля неполных ответов. Без baseline ROI недоказуем перед заказчиком.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Цели и измеримые результаты</w:t>
      </w:r>
    </w:p>
    <w:p>
      <w:pPr>
        <w:spacing w:after="120" w:before="0" w:line="276"/>
      </w:pPr>
      <w:r>
        <w:t xml:space="preserve">Целевые значения разделены на этап MVP/демо и продакшен-пилот. Колонка «Как измеряем» делает метрики проверяемыми, а не декларативными.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15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Продакшен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 измеряем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Ускорить сорсинг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Время от запроса до сводной таблицы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≤ 3 дней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Тайм-штампы в БД, сравнение с baseline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Стандартизировать RFQ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Доля RFQ по единому шаблону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Авто-проверка формата при генерации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Авто-извлечение данных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Доля котировок без ручного ввода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70%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85%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Сверка с golden-датасетом размеченных писем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Полнота котировок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Карточки с ценой, базисом, MOQ, спецификацией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80%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90%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Флаг полноты в модели данных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Корректная эскалация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Нестандартные кейсы → специалисту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Лог эскалаций vs ручной аудит выборки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Качество извлечения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Точность полей цена/базис/MOQ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90%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95%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Precision/Recall на golden-датасете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Безопасность данных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Данные в контуре заказчика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on-prem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on-prem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Аудит исходящего трафика (см. риск WhatsApp)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Объём работ и границы MVP</w:t>
      </w:r>
    </w:p>
    <w:p>
      <w:pPr>
        <w:spacing w:after="120" w:before="0" w:line="276"/>
      </w:pPr>
      <w:r>
        <w:t xml:space="preserve">Десять функций ТЗ с приоритетом и охватом. MVP-охват функций 2–4 ограничен демо: в прототипе они работают на кэшированных/синтетических данных, боевые подключения выполняются на этапе интеграций (см. раздел 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400"/>
        <w:gridCol w:w="25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 MVP (демо)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Приём входных данных (CAS, наименование, чистота, применение, история цен)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Верификация вещества по CAS и генерация RFQ (CIP/FCA/EXW)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Да: проверка CAS через PubChem; генерация RFQ — да; Echemi — заглушка в UI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Поиск поставщиков в открытых источниках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Демо (имитация)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Авто-рассылка RFQ (Email / WhatsApp) с запросом цены, CoA, TDS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Демо (имитация отправки)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Извлечение данных из ответов + авто-дозапрос при неполноте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 (на тестовом корпусе)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Сводная таблица по поставщикам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Контроль полноты ключевых параметров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История коммуникаций (карточка менеджера)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Эскалация на специалиста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Шаблоны ответов и ведение статусов запросов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Вне MVP / следующие этапы: </w:t>
      </w:r>
      <w:r>
        <w:t xml:space="preserve">официальная интеграция Echemi (при партнёрстве), боевые подключения почты и WhatsApp, дообучение моделей на истории закупок, ролевая модель и аудит, интеграция с ERP/1С, мультиязычная нормализация ответов, мобильный клиент.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Архитектура решения (on-premise)</w:t>
      </w:r>
    </w:p>
    <w:p>
      <w:pPr>
        <w:spacing w:after="120" w:before="0" w:line="276"/>
      </w:pPr>
      <w:r>
        <w:t xml:space="preserve">Система разворачивается полностью в контуре заказчика (Docker Compose / Kubernetes). Внешние обращения — только к разрешённым каналам через контролируемый исходящий шлюз с белым списком доменов и журналированием.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Веб-интерфейс (SPA)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Рабочее место специалиста: запросы, сводные таблицы, карточки менеджеров, очередь эскалаций, шаблоны, статусы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Бизнес-логика, оркестрация ИИ-конвейера, статусы запросов, RBAC, выдача экспортов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ИИ-оркестратор (агент)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Верификация CAS, генерация RFQ, извлечение данных, контроль полноты, авто-дозапрос, правила эскалации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Сервис извлечения / LLM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Локальная LLM + structured output (JSON-схема); OCR сканов CoA/TDS; перевод (ZH/EN→RU); оценка уверенности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Коннекторы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Верификация CAS (PubChem), Email (IMAP/SMTP), WhatsApp Cloud API, веб-сорсинг; Echemi — заглушка под будущую интеграцию; всё за абстракцией с fallback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Хранилища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PostgreSQL + pgvector (заявки, котировки, контакты, индекс), объектное хранилище вложений (CoA/TDS), кэш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Асинхронная обработка рассылок, парсинга, дозапросов; идемпотентность и дедупликация входящих писем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Наблюдаемость / Eval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Метрики качества извлечения на golden-датасете, логи, алерты, дашборд KPI пилота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ИИ-конвейер обработки запроса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Верификация: проверка вещества по CAS через PubChem PUG REST (наименование, синонимы, формула, молекулярная масса). Echemi — заглушка в UI под будущую интеграцию.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Генерация RFQ: сборка стандартизированного запроса под выбранные базисы и обязательный перечень документов (CoA, TDS).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Сорсинг: мониторинг открытых источников — сайты компаний, новости об инвестпроектах, экспортные лицензии, ТЭО, экологические разрешения.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Рассылка: отправка RFQ по выбранным каналам, тред-трекинг и фиксация статусов.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Извлечение: парсинг входящих в структуру (вещество, CAS, контакт, цена, базис, MOQ, грейд, оплата, документы) с оценкой уверенности по каждому полю.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Контроль полноты + дозапрос: при нехватке данных или низкой уверенности — авто-дозапрос по шаблону либо передача оператору.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Сводка и эскалация: формирование сравнительной таблицы; нестандартные кейсы — специалисту.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Ключевые технические решения по ML и парсингу</w:t>
      </w:r>
    </w:p>
    <w:p>
      <w:pPr>
        <w:spacing w:after="120" w:before="0" w:line="276"/>
      </w:pPr>
      <w:r>
        <w:t xml:space="preserve">Метрика «≥85% автоизвлечения» достижима только при явной методике. Предлагается гибрид правил и LLM с человеком в петле.</w:t>
      </w:r>
    </w:p>
    <w:p>
      <w:pPr>
        <w:spacing w:after="120" w:line="276"/>
      </w:pPr>
      <w:r>
        <w:rPr>
          <w:b/>
          <w:bCs/>
        </w:rPr>
        <w:t xml:space="preserve">Рекомендуемая линейка: Qwen3 (Alibaba Cloud, Apache 2.0). </w:t>
      </w:r>
      <w:r>
        <w:t xml:space="preserve">Выбор обоснован тремя факторами: лучшая поддержка китайского языка (поставщики — преимущественно из КНР), разрешительная лицензия для on-prem и наиболее стабильный вызов функций (tool/function calling) для structured output. Подход двухуровневый — модель подбирается под доступное железо и заменяется по мере роста без переписывания кода.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MVP (текущее железо). </w:t>
      </w:r>
      <w:r>
        <w:t xml:space="preserve">Qwen3-8B в квантизации Q4_K_M (формат GGUF) на NVIDIA RTX 4060 8 ГБ + 32 ГБ ОЗУ: ~7,2 ГБ VRAM, ~40 ток/с при контексте 16K, поддержка китайского и tool calling. Контекст держим в пределах 4–16K, чтобы KV-кэш помещался в 8 ГБ. На 8 ГБ-карте обязателен режим одного общего KV-кэша (--parallel 1), иначе параллельные запросы вызывают переполнение видеопамяти. Резервная модель меньшего размера (Qwen3-1.7B) подключается автоматически, если основная недоступна.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LLM встроена в приложение (без сторонних программ). </w:t>
      </w:r>
      <w:r>
        <w:t xml:space="preserve">Инференс-движок — llama.cpp (бинарь llama-server), который поставляется внутри дистрибутива приложения вместе с GGUF-моделью. Бэкенд сам запускает его как дочерний процесс при старте, дожидается готовности локального порта и обращается к нему по HTTP на 127.0.0.1 через OpenAI-совместимый эндпоинт /v1/chat/completions. Пользователю не нужно ставить Ollama или любой внешний сервис. Бэкенд управляет жизненным циклом процесса (запуск, проверка готовности, корректная остановка, снятие «осиротевших» процессов, чтобы не утекала видеопамять). Ускорение на GPU — через Vulkan/CUDA-сборку llama.cpp. Подход уже отработан в действующем проекте команды.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OCR на MVP — на CPU. </w:t>
      </w:r>
      <w:r>
        <w:t xml:space="preserve">Мультимодальная LLM в 8 ГБ не помещается рядом с основной моделью, поэтому распознавание сканов CoA/TDS — через CPU-движок (PaddleOCR с хорошим китайским или Tesseract); 32 ГБ ОЗУ для этого достаточно.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Эмбеддинги — на CPU. </w:t>
      </w:r>
      <w:r>
        <w:t xml:space="preserve">bge-m3 (мультиязычные) считаются на CPU, чтобы не отнимать VRAM у LLM.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Продакшен / масштабирование. </w:t>
      </w:r>
      <w:r>
        <w:t xml:space="preserve">При росте нагрузки и требований к качеству — переход на Qwen3-32B (dense) или Qwen3-30B-A3B (MoE) на GPU класса H100 80GB через vLLM, плюс Qwen2.5-VL для OCR. Вызов LLM идёт через OpenAI-совместимый API, поэтому смена модели — это изменение конфигурации, а не кода. Конкретные релизы фиксируются на этапе 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Извлечение через structured output: LLM с жёсткой JSON-схемой котировки (function calling / constrained decoding), а не свободный текст. Это резко повышает парсимость ответа.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Детерминированные валидаторы поверх LLM: CAS — по контрольной сумме, цены/валюты/единицы — regex и справочники, базисы (Incoterms) — по словарю. LLM не «угадывает» то, что можно проверить правилом.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Оценка уверенности по каждому полю: при confidence ниже порога поле уходит на ручную проверку или в авто-дозапрос — так обеспечивается заявленная точность без слепого доверия модели.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Golden-датасет: 100–300 размеченных реальных писем/сообщений на старте. Именно на нём измеряются 85% и точность — иначе метрики недоказуемы.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OCR: CoA/TDS часто приходят сканами/фото — нужен OCR-слой (например, локальный движок) перед извлечением, иначе документы выпадают из конвейера.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Мультиязычность: ответы на китайском/английском — слой нормализации и перевода до извлечения; термины и единицы приводятся к единому виду.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RAG по истории закупок: ценовые ориентиры и прошлые условия подтягиваются из pgvector для контекста дозапроса и оценки адекватности цены.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Дедупликация и threading входящих: один менеджер может отвечать несколькими письмами — нужна сшивка по треду и идемпотентность, чтобы не плодить дубли котировок.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Локальная LLM на MVP работает на бытовом GPU (RTX 4060 8 ГБ) через встроенный llama-server (llama.cpp) — отдельный GPU класса H100 не требуется на старте. Заложить оценку пропускной способности; при росте числа писем — горизонтальный переход на более мощный GPU и vLLM с батчингом без правок ядра.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Технологический стек</w:t>
      </w:r>
    </w:p>
    <w:p>
      <w:pPr>
        <w:spacing w:after="120" w:before="0" w:line="276"/>
      </w:pPr>
      <w:r>
        <w:t xml:space="preserve">Стек по ТЗ — на усмотрение команды. Предлагаемый вариант под on-premise и компетенции #backend, #ml, #UX/UI: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 (предложение)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React + TypeScript, Vite, компонентная UI-библиотека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Python (FastAPI) либо Node.js (NestJS)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ИИ / парсинг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MVP: Qwen3-8B (Q4_K_M, GGUF) через встроенный llama-server (llama.cpp, subprocess) на RTX 4060 8 ГБ; OCR — PaddleOCR/Tesseract на CPU; bge-m3 на CPU. Продакшен: Qwen3-32B/30B-A3B + Qwen2.5-VL через vLLM. structured output, RAG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PostgreSQL + pgvector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Очередь / воркеры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Redis / RabbitMQ + Celery (или эквивалент)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IMAP/SMTP-коннектор (полностью в контуре)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ТОЛЬКО Cloud API — On-Premises отключён Meta 23.10.2025; данные проходят через Meta (см. раздел 11)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Docker Compose / Kubernetes; GPU-узел для LLM; on-premise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Наблюдаемость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Метрики качества извлечения, логирование, алерты, дашборд KPI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Модель данных (основные сущности)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Запрос (RFQ): CAS, наименование, чистота, применение, объём, ценовой ориентир, базисы, каналы, статус.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Поставщик: компания, город, тип (производитель/дистрибьютор), репутация, сертификаты (GMP/ISO).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Менеджер (контакт): ФИО, email, WhatsApp, привязка к поставщику, предлагаемые вещества.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Котировка: цена, валюта, базис, MOQ, грейд, оплата, срок, наличие CoA/TDS, флаг полноты, confidence по полям.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Коммуникация: направление, канал, текст, вложения, тред, привязка к RFQ и менеджеру.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Эскалация: причина (грейд/логистика/дефицит/кастом-синтез), статус, ответственный.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Этапы и сроки</w:t>
      </w:r>
    </w:p>
    <w:p>
      <w:pPr>
        <w:spacing w:after="120" w:before="0" w:line="276"/>
      </w:pPr>
      <w:r>
        <w:t xml:space="preserve">Итерации по 2 недели. Добавлены зависимости и критерий готовности (DoD) каждого этапа. Оценка предполагает команду из 4–5 человек; при меньшей команде сроки растягиваются.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100"/>
        <w:gridCol w:w="23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 готовности (DoD)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 Подготовка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Доступы (почта, WhatsApp), верификация CAS через PubChem (без ключа), сбор истории, шаблоны, правила эскалации, baseline-метрики, развёртывание Qwen3-8B на RTX 4060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1–2 нед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Согласованное ТЗ, доступы, baseline, локальная модель запущена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1. MVP-прототип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Веб-интерфейс, пользовательский путь, имитация конвейера (готово — демо)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1–2 нед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Кликабельный прототип принят заказчиком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 Ядро + БД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Backend, модель данных, генерация RFQ, сводная таблица, контроль полноты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2–3 нед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RFQ генерируется, таблица с экспортом работает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 ИИ-парсинг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Локальная LLM, OCR, извлечение из писем, авто-дозапрос, golden-датасет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2–3 нед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Автоизвлечение ≥70% на golden-датасете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4. Интеграции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Email (IMAP/SMTP), WhatsApp Cloud API, веб-сорсинг, PubChem (CAS); Echemi — заглушка/ассист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3–4 нед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Боевые каналы, end-to-end на реальном запросе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5. Эскалация и история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Карточки менеджеров, правила эскалации, шаблоны и статусы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1–2 нед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Полный цикл проходит без ручных обходов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6. Пилот и приёмка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On-premise развёртывание, обучение, доработки по обратной связи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 нед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Пилот в эксплуатации, KPI замеряются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Критический путь: </w:t>
      </w:r>
      <w:r>
        <w:t xml:space="preserve">боевые доступы (почта, WhatsApp) блокируют этап 4. Митигация — начинать ядро и парсинг на синтетике/кэше параллельно, не дожидаясь доступов; MVP-модель уже работает на имеющейся машине. Итого до пилота: ориентировочно 12–16 недель при полной команде и своевременных доступах.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Команда и роли</w:t>
      </w:r>
    </w:p>
    <w:p>
      <w:pPr>
        <w:spacing w:after="120" w:before="0" w:line="276"/>
      </w:pPr>
      <w:r>
        <w:t xml:space="preserve">Состав включает QA и доменного эксперта по закупкам/китайскому рынку — без них качество извлечения и реалистичность сценариев непроверяемы. Безопасность закреплена за DevOps.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Загрузка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 / аналитик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Требования, процессы закупок, правила эскалации, приёмка, baseline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Полная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UX/UI-дизайнер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Пользовательский путь, интерфейс рабочего места специалиста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Частичная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Backend-разработчик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API, модель данных, оркестрация, интеграции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Полная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ML-инженер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Парсинг, OCR, локальная LLM, golden-датасет, контроль качества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Полная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On-premise развёртывание, GPU, безопасность, мониторинг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Частичная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QA-инженер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Тест-кейсы, регрессы, проверка метрик извлечения и эскалаций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Частичная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Доменный эксперт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Закупщик/китаист: разметка golden-датасета, проверка реалистичности сценариев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Частичная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Риски и меры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 on-prem отключён (Meta, 23.10.2025) — Cloud API выводит данные за контур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Для WhatsApp-канала — отдельная оценка приватности с заказчиком; рассмотреть BSP-провайдера, минимизацию передаваемого контента или отказ от WhatsApp в пользу email для чувствительных данных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Echemi: нет публичного API; RFQ-маркет с ручной модерацией и кредитами — сквозная автоматизация невозможна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Верификация CAS перенесена на PubChem (бесплатный открытый API); Echemi остаётся заглушкой в UI; в перспективе — партнёрство/ассист-режим за абстракцией коннектора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Китайские поставщики чаще используют WeChat / Alibaba TM, а не email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Подтвердить реальные каналы на этапе 0; заложить приоритезацию каналов; не переоценивать охват через email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Произвольный формат ответов, неполные данные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LLM structured output + правила нормализации, confidence-пороги, авто-дозапрос, ручная корректировка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Качество извлечения ниже целевого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Golden-датасет, метрики precision/recall, человек в петле, итеративное дообучение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Производительности MVP-модели (8B) не хватит на сложные ответы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Метрики на golden-датасете; для трудных кейсов — HITL; путь масштабирования на крупную модель заложен в архитектуре (смена через конфиг)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Срок поставки мощного GPU (только для продакшена)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MVP работает на RTX 4060; апгрейд GPU не блокирует старт; ранний заказ под продакшен-этап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Экспортный/таможенный комплаенс по химии, опасные грузы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Правила эскалации для опасной логистики и контролируемых веществ; ответственный по комплаенсу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Антиспам и репутация рассылки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Лимиты, прогрев домена, корректные шаблоны, opt-out, мониторинг доставляемости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Зависимость от доступов заказчика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Параллельная разработка на синтетике; чёткий чек-лист доступов в этапе 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Требования безопасности данных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On-premise, RBAC, аудит, шифрование, контроль исходящего трафика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Безопасность и приватность</w:t>
      </w:r>
    </w:p>
    <w:p>
      <w:pPr>
        <w:spacing w:after="120" w:before="0" w:line="276"/>
      </w:pPr>
      <w:r>
        <w:t xml:space="preserve">Решение разворачивается в контуре заказчика. Локальная LLM обеспечивает, что содержимое переписки и коммерческие условия не передаются во внешние сервисы. Предусмотрены ролевой доступ (RBAC), журнал действий, шифрование вложений (CoA/TDS) и контролируемый исходящий шлюз только к разрешённым каналам.</w:t>
      </w:r>
    </w:p>
    <w:p>
      <w:pPr>
        <w:spacing w:after="120" w:line="276"/>
      </w:pPr>
      <w:r>
        <w:rPr>
          <w:b/>
          <w:bCs/>
        </w:rPr>
        <w:t xml:space="preserve">Важная оговорка по WhatsApp. </w:t>
      </w:r>
      <w:r>
        <w:t xml:space="preserve">После отключения On-Premises API единственный путь — WhatsApp Cloud API, при котором сообщения проходят через инфраструктуру Meta. Это объективно противоречит принципу «данные не покидают контур». Решение нужно согласовать с заказчиком: ограничить WhatsApp нечувствительным первичным контактом, использовать BSP с подходящим размещением, либо вести чувствительную переписку только по self-hosted email.</w:t>
      </w:r>
    </w:p>
    <w:p>
      <w:pPr>
        <w:spacing w:after="120" w:before="0" w:line="276"/>
      </w:pPr>
      <w:r>
        <w:rPr>
          <w:i/>
          <w:iCs/>
        </w:rPr>
        <w:t xml:space="preserve">Email-канал (IMAP/SMTP), напротив, может быть полностью в контуре — для конфиденциальных условий он предпочтителен.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12. Бизнес-кейс и ROI (для питча)</w:t>
      </w:r>
    </w:p>
    <w:p>
      <w:pPr>
        <w:spacing w:after="120" w:before="0" w:line="276"/>
      </w:pPr>
      <w:r>
        <w:t xml:space="preserve">Раздел под защиту перед заказчиком и жюри. Цифры — иллюстративная модель; подставляются после фиксации baseline.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Экономия времени специалиста: (часы на сорсинг сейчас − после) × ставка × число сорсингов в месяц. Главный измеримый эффект.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Рост охвата поставщиков: больше контрагентов в выборке за то же время → выше шанс лучшей цены и условий → прямой эффект на маржу закупки.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Связь с продажами: как отметил сооснователь, эффективная закупка повышает конверсию в продажах — это второй контур ценности, который стоит показать.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Снижение зависимости от человеческого фактора: воспроизводимый процесс, не завязанный на конкретного специалиста.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Дифференциация: вертикальное решение под химию (CAS, Incoterms, CoA/TDS, китайские поставщики), а не универсальный procurement-инструмент.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Масштабирование после пилота: новые группы сырья, интеграция с ERP/1С, аналитика по поставщикам и ценам.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13. Критерии успеха платного пилота</w:t>
      </w:r>
    </w:p>
    <w:p>
      <w:pPr>
        <w:spacing w:after="120" w:before="0" w:line="276"/>
      </w:pPr>
      <w:r>
        <w:t xml:space="preserve">Привязаны к формату платного пилотного тестирования. Пилот считается успешным, если: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Специалист создаёт запрос по CAS и получает стандартизированный RFQ под выбранные базисы.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Система рассылает RFQ по выбранным каналам и фиксирует статусы.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≥ 85% входящих ответов структурируются автоматически; неполные — с авто-дозапросом.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Формируется сводная сравнительная таблица с экспортом (CSV/Excel).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Ведётся история коммуникаций по каждому менеджеру.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Нестандартные кейсы корректно эскалируются специалисту.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Развёртывание выполнено on-premise; согласован режим обработки WhatsApp-данных.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Подтверждено сокращение времени сорсинга относительно baseline (целевой KPI пилота).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14. Допущения и открытые вопросы</w:t>
      </w:r>
    </w:p>
    <w:p>
      <w:pPr>
        <w:spacing w:after="120" w:before="0" w:line="276"/>
      </w:pPr>
      <w:r>
        <w:t xml:space="preserve">Эти пункты следует закрыть на этапе 0 — от них зависят сроки, метрики и архитектура.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Echemi: программного API нет (проверено). Запрашивать ли у Echemi VIP/партнёрский доступ и допустим ли ассист-режим/браузерная автоматизация по ToS? Верификация CAS уже закрыта через PubChem.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Каковы реальные каналы общения с поставщиками (email / WhatsApp / WeChat / Alibaba TM) и их доли?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Текущий baseline: время и число контактов на один сорсинг, доля неполных ответов?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Объём и формат истории закупок для RAG и дообучения? Качество данных?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Допустимая модель приватности для WhatsApp (Cloud API через Meta)?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Объём пиковой нагрузки: число RFQ и входящих сообщений в сутки?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Требования по ролям, аудиту и интеграции с ERP/1С на следующих этапах?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15. MVP — демонстрация заказчику</w:t>
      </w:r>
    </w:p>
    <w:p>
      <w:pPr>
        <w:spacing w:after="120" w:before="0" w:line="276"/>
      </w:pPr>
      <w:r>
        <w:t xml:space="preserve">К плану прилагается рабочий интерактивный прототип MVP_ChemSourcing.html (открывается в браузере, без установки). Он демонстрирует полный пользовательский путь: ввод материала, верификацию CAS через PubChem (Echemi показан заглушкой) и генерацию RFQ с предпросмотром, анимированный статус-конвейер (поиск → рассылка → сбор → парсинг → дозапрос), сводную таблицу с фильтрами и экспортом, карточки менеджеров, очередь эскалаций и библиотеку шаблонов.</w:t>
      </w:r>
    </w:p>
    <w:p>
      <w:pPr>
        <w:spacing w:after="120" w:before="0" w:line="276"/>
      </w:pPr>
      <w:r>
        <w:rPr>
          <w:i/>
          <w:iCs/>
        </w:rPr>
        <w:t xml:space="preserve">Прототип использует демонстрационные данные и имитацию ИИ-обработки. Логика и экраны соответствуют целевому продукту и служат основой для боевой версии.</w:t>
      </w:r>
    </w:p>
    <w:p>
      <w:pPr>
        <w:spacing w:before="200"/>
        <w:jc w:val="center"/>
      </w:pPr>
      <w:r>
        <w:rPr>
          <w:i/>
          <w:iCs/>
          <w:color w:val="888888"/>
          <w:sz w:val="16"/>
          <w:szCs w:val="16"/>
        </w:rPr>
        <w:t xml:space="preserve">Документ подготовлен как план реализации проекта «ChemSource AI». Сроки и стек уточняются на этапе согласования объёма работ и предоставления доступов.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Источник: Meta for Developers — On-Premises API Sunset. Финальная версия On-Premises клиента прекратила работу 23.10.2025; поддерживается только облачный Cloud API.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ChemSource AI — План реализации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2026-06-02T16:35:47.575Z</dcterms:created>
  <dcterms:modified xsi:type="dcterms:W3CDTF">2026-06-02T16:35:47.575Z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