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  <w:jc w:val="center"/>
      </w:pPr>
      <w:r>
        <w:rPr>
          <w:b/>
          <w:bCs/>
          <w:color w:val="1F4E79"/>
          <w:sz w:val="52"/>
          <w:szCs w:val="52"/>
        </w:rPr>
        <w:t xml:space="preserve">ChemSource AI</w:t>
      </w:r>
    </w:p>
    <w:p>
      <w:pPr>
        <w:spacing w:after="80"/>
        <w:jc w:val="center"/>
      </w:pPr>
      <w:r>
        <w:rPr>
          <w:color w:val="2E5F8A"/>
          <w:sz w:val="30"/>
          <w:szCs w:val="30"/>
        </w:rPr>
        <w:t xml:space="preserve">Техническое задание на разработку</w:t>
      </w:r>
    </w:p>
    <w:p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Требования к блочной масштабируемой архитектуре (on-premise)</w:t>
      </w:r>
    </w:p>
    <w:p>
      <w:pPr>
        <w:spacing w:after="80"/>
        <w:jc w:val="center"/>
      </w:pPr>
      <w:r>
        <w:rPr>
          <w:sz w:val="20"/>
          <w:szCs w:val="20"/>
        </w:rPr>
        <w:t xml:space="preserve">ИИ-ассистент закупок химического сырья</w:t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Дата: 02.06.2026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Назначение и область применения</w:t>
      </w:r>
    </w:p>
    <w:p>
      <w:pPr>
        <w:spacing w:after="120" w:before="0" w:line="276"/>
      </w:pPr>
      <w:r>
        <w:t xml:space="preserve">Документ описывает технические требования к разработке системы ChemSource AI — on-premise ИИ-ассистента отдела закупок химического сырья. Акцент сделан на архитектуре: система проектируется как набор слабосвязанных блоков (модулей/сервисов), которые можно разрабатывать, развёртывать, масштабировать и заменять независимо.</w:t>
      </w:r>
    </w:p>
    <w:p>
      <w:pPr>
        <w:spacing w:after="120" w:before="0" w:line="276"/>
      </w:pPr>
      <w:r>
        <w:t xml:space="preserve">Цель архитектуры — обеспечить три свойства: блочность (чёткие границы и контракты между модулями), масштабируемость (горизонтальное наращивание под нагрузку без переписывания) и переносимость (полное развёртывание в контуре заказчика).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2. Термины и сокращения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RFQ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Request for Quotation — запрос на котировку поставщику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CoA / TDS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Сертификат анализа / техническая спецификация продукта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CAS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Уникальный регистрационный номер химического вещества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Incoterms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Базисы поставки (CIP, FCA, EXW и др.)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LLM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Большая языковая модель (здесь — локальная, on-prem)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RAG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Retrieval-Augmented Generation — генерация с опорой на найденный контекст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HITL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Human-in-the-loop — участие человека в петле принятия решений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BFF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Backend-for-Frontend — серверный слой под нужды интерфейса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DLQ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Dead Letter Queue — очередь необработанных сообщений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SLA / SLO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Соглашение / целевые показатели уровня сервиса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3. Архитектурные принципы</w:t>
      </w:r>
    </w:p>
    <w:p>
      <w:pPr>
        <w:spacing w:after="120" w:before="0" w:line="276"/>
      </w:pPr>
      <w:r>
        <w:t xml:space="preserve">Система строится по принципам, типичным для production-grade LLM/RAG-платформ и микросервисных систем обработки документов: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Модульность и слабая связанность. </w:t>
      </w:r>
      <w:r>
        <w:t xml:space="preserve">Каждый блок имеет одну зону ответственности и общается с другими только через явные контракты (REST/gRPC, события). Внутренняя реализация скрыта.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Разделение онлайн- и офлайн-конвейеров. </w:t>
      </w:r>
      <w:r>
        <w:t xml:space="preserve">Тяжёлая пакетная обработка (парсинг писем, индексация, OCR) отделена от интерактивного слоя (UI, выдача таблиц), чтобы исключить конкуренцию за ресурсы.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Событийная архитектура. </w:t>
      </w:r>
      <w:r>
        <w:t xml:space="preserve">Длительные операции (рассылка, парсинг, дозапрос) выполняются асинхронно через брокер сообщений и воркеры; сервисы не блокируют друг друга.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Stateless-сервисы. </w:t>
      </w:r>
      <w:r>
        <w:t xml:space="preserve">Прикладные сервисы не хранят состояние локально — оно в БД/кэше/очереди; это даёт горизонтальное масштабирование простым добавлением реплик.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API-first и версионирование контрактов. </w:t>
      </w:r>
      <w:r>
        <w:t xml:space="preserve">Контракты описываются (OpenAPI/Protobuf) до реализации; изменения — через версии, без поломки потребителей.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Изоляция внешних интеграций. </w:t>
      </w:r>
      <w:r>
        <w:t xml:space="preserve">Echemi, почта, WhatsApp скрыты за слоем коннекторов-адаптеров с единым внутренним интерфейсом и fallback — смена провайдера не затрагивает ядро.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12-factor и конфигурация извне. </w:t>
      </w:r>
      <w:r>
        <w:t xml:space="preserve">Все параметры — через переменные окружения/секрет-хранилище; один и тот же образ работает в любой среде.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Наблюдаемость по умолчанию. </w:t>
      </w:r>
      <w:r>
        <w:t xml:space="preserve">Каждый запрос трассируется сквозь модули (OpenTelemetry); метрики качества ИИ и бизнес-метрики собираются с первого дня.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Безопасность и приватность by design. </w:t>
      </w:r>
      <w:r>
        <w:t xml:space="preserve">Контролируемый egress, RBAC, шифрование, аудит. Данные не покидают контур, кроме явно согласованных каналов.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4. Блочная архитектура: обзор слоёв</w:t>
      </w:r>
    </w:p>
    <w:p>
      <w:pPr>
        <w:spacing w:after="120" w:before="0" w:line="276"/>
      </w:pPr>
      <w:r>
        <w:t xml:space="preserve">Система разделена на семь логических слоёв. Слой — это группа модулей с близкой ответственностью; модули внутри слоя и между слоями масштабируются независимо.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26"/>
        <w:gridCol w:w="23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Слой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Состав (модули)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Масштабирование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L1. Представление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SPA веб-интерфейс, BFF/API Gateway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Реплики за балансировщиком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L2. Прикладные сервисы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RFQ, Поставщики, Котировки, Коммуникации, Эскалации, Шаблоны, Auth/RBAC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Горизонтально, по сервису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L3. Оркестрация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Оркестратор ИИ-конвейера (workflow-движок)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По числу параллельных процессов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L4. ИИ/ML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LLM-инференс, Извлечение, OCR, Перевод, Эмбеддинги, Retrieval/RAG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GPU-узлы + реплики сервисов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L5. Интеграции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Коннекторы: Email, WhatsApp, Echemi, Веб-сорсинг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По каналу, с rate-limit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L6. Асинхронность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Брокер сообщений, очереди, пул воркеров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Воркеры по длине очереди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L7. Данные и наблюдаемость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PostgreSQL+pgvector, объектное хранилище, кэш, логи/метрики/трейсы, Eval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Реплики чтения, шардирование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before="0" w:line="276"/>
      </w:pPr>
      <w:r>
        <w:t xml:space="preserve">Поток управления: интерфейс (L1) вызывает прикладные сервисы (L2); долгие операции ставятся в очередь (L6) и подхватываются воркерами, которые обращаются к оркестратору (L3) и ИИ-слою (L4) и внешним каналам (L5); результаты сохраняются в данных (L7) и возвращаются в UI. Каждый шаг трассируется (L7).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5. Детальные требования к модулям</w:t>
      </w:r>
    </w:p>
    <w:p>
      <w:pPr>
        <w:spacing w:after="120" w:before="0" w:line="276"/>
      </w:pPr>
      <w:r>
        <w:t xml:space="preserve">Для каждого модуля заданы: зона ответственности, входы/выходы, контракт, стратегия масштабирования и предлагаемая технология. Модули нумеруются для трассируемости в реализации.</w:t>
      </w:r>
    </w:p>
    <w:p>
      <w:pPr>
        <w:pStyle w:val="Heading2"/>
      </w:pPr>
      <w:r>
        <w:t xml:space="preserve">5.1. Слой представления (L1)</w:t>
      </w:r>
    </w:p>
    <w:p>
      <w:pPr>
        <w:pStyle w:val="Heading3"/>
      </w:pPr>
      <w:r>
        <w:t xml:space="preserve">M1. Веб-интерфейс (SPA)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Рабочее место специалиста: создание запросов, просмотр сводных таблиц, карточек менеджеров, очереди эскалаций, шаблонов и статусов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Входы/выходы: </w:t>
      </w:r>
      <w:r>
        <w:t xml:space="preserve">Вызовы BFF по REST/WebSocket; получает данные котировок, статусы, уведомления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Статика за CDN/реверс-прокси; не хранит состояние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Технология: </w:t>
      </w:r>
      <w:r>
        <w:t xml:space="preserve">React + TypeScript, Vite; WebSocket для live-статусов конвейера</w:t>
      </w:r>
    </w:p>
    <w:p>
      <w:pPr>
        <w:pStyle w:val="Heading3"/>
      </w:pPr>
      <w:r>
        <w:t xml:space="preserve">M2. API Gateway / BFF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Единая точка входа: маршрутизация к сервисам, агрегация ответов под нужды UI, аутентификация, rate-limiting, валидация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Входы/выходы: </w:t>
      </w:r>
      <w:r>
        <w:t xml:space="preserve">HTTP от SPA → внутренние вызовы L2; отдаёт агрегированные DTO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Stateless, N реплик за балансировщиком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Технология: </w:t>
      </w:r>
      <w:r>
        <w:t xml:space="preserve">FastAPI/NestJS; OpenAPI-контракты; JWT-валидация</w:t>
      </w:r>
    </w:p>
    <w:p>
      <w:pPr>
        <w:pStyle w:val="Heading2"/>
      </w:pPr>
      <w:r>
        <w:t xml:space="preserve">5.2. Прикладные сервисы (L2)</w:t>
      </w:r>
    </w:p>
    <w:p>
      <w:pPr>
        <w:spacing w:after="120" w:before="0" w:line="276"/>
      </w:pPr>
      <w:r>
        <w:t xml:space="preserve">Доменные сервисы по ограниченным контекстам (DDD). Каждый владеет своими данными и публикует события об изменениях.</w:t>
      </w:r>
    </w:p>
    <w:p>
      <w:pPr>
        <w:pStyle w:val="Heading3"/>
      </w:pPr>
      <w:r>
        <w:t xml:space="preserve">M3. RFQ-сервис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Жизненный цикл запроса: приём входных данных (CAS, наименование, чистота, применение, ориентир), генерация стандартизированного RFQ под базисы (CIP/FCA/EXW), статусы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Входы/выходы: </w:t>
      </w:r>
      <w:r>
        <w:t xml:space="preserve">Создание RFQ от UI; публикует событие RfqCreated → запускает сорсинг и рассылку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Stateless; нагрузка невысокая — несколько реплик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Технология: </w:t>
      </w:r>
      <w:r>
        <w:t xml:space="preserve">FastAPI/NestJS; шаблонизация RFQ; БД: таблица rfq</w:t>
      </w:r>
    </w:p>
    <w:p>
      <w:pPr>
        <w:pStyle w:val="Heading3"/>
      </w:pPr>
      <w:r>
        <w:t xml:space="preserve">M4. Сервис поставщиков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Реестр поставщиков и производителей: тип (дистрибьютор/производитель), репутация, сертификаты (GMP/ISO), привязка к веществам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Входы/выходы: </w:t>
      </w:r>
      <w:r>
        <w:t xml:space="preserve">Создание/обогащение из сорсинга и из извлечения; чтение для сводной таблицы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Stateless; чтение масштабируется репликами БД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Технология: </w:t>
      </w:r>
      <w:r>
        <w:t xml:space="preserve">БД: supplier; дедупликация по нормализованному имени/домену</w:t>
      </w:r>
    </w:p>
    <w:p>
      <w:pPr>
        <w:pStyle w:val="Heading3"/>
      </w:pPr>
      <w:r>
        <w:t xml:space="preserve">M5. Сервис котировок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Хранение структурированных котировок (цена, валюта, базис, MOQ, грейд, оплата, срок, CoA/TDS, флаг полноты, confidence), формирование сводной сравнительной таблицы и экспорт (CSV/Excel)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Входы/выходы: </w:t>
      </w:r>
      <w:r>
        <w:t xml:space="preserve">Принимает структурированные котировки от сервиса извлечения; отдаёт сводку в UI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Чтение — реплики; экспорт — через воркер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Технология: </w:t>
      </w:r>
      <w:r>
        <w:t xml:space="preserve">БД: quote; материализованные представления для сводки</w:t>
      </w:r>
    </w:p>
    <w:p>
      <w:pPr>
        <w:pStyle w:val="Heading3"/>
      </w:pPr>
      <w:r>
        <w:t xml:space="preserve">M6. Сервис коммуникаций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Единый журнал переписки по всем каналам, тред-трекинг, карточка менеджера с историей и перечнем предлагаемых веществ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Входы/выходы: </w:t>
      </w:r>
      <w:r>
        <w:t xml:space="preserve">Получает нормализованные сообщения от коннекторов; отдаёт историю в UI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Запись — через очередь; чтение — реплики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Технология: </w:t>
      </w:r>
      <w:r>
        <w:t xml:space="preserve">БД: communication, contact; сшивка тредов по message-id/референсам</w:t>
      </w:r>
    </w:p>
    <w:p>
      <w:pPr>
        <w:pStyle w:val="Heading3"/>
      </w:pPr>
      <w:r>
        <w:t xml:space="preserve">M7. Сервис эскалаций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Правила и очередь эскалаций: выбор грейда, опасная логистика, дефицитные позиции, кастомный синтез, низкая уверенность извлечения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Входы/выходы: </w:t>
      </w:r>
      <w:r>
        <w:t xml:space="preserve">Подписан на события полноты/уверенности; создаёт задачу специалисту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Низкая нагрузка; правила вынесены в конфиг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Технология: </w:t>
      </w:r>
      <w:r>
        <w:t xml:space="preserve">Движок правил (декларативный); БД: escalation</w:t>
      </w:r>
    </w:p>
    <w:p>
      <w:pPr>
        <w:pStyle w:val="Heading3"/>
      </w:pPr>
      <w:r>
        <w:t xml:space="preserve">M8. Сервис шаблонов и статусов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Библиотека стандартных ответов на типовые вопросы, шаблоны RFQ/дозапросов, управление статусами запросов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Входы/выходы: </w:t>
      </w:r>
      <w:r>
        <w:t xml:space="preserve">Предоставляет шаблоны оркестратору и UI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Stateless; кэшируется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Технология: </w:t>
      </w:r>
      <w:r>
        <w:t xml:space="preserve">БД: template; версионирование шаблонов</w:t>
      </w:r>
    </w:p>
    <w:p>
      <w:pPr>
        <w:pStyle w:val="Heading3"/>
      </w:pPr>
      <w:r>
        <w:t xml:space="preserve">M9. Auth и RBAC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Аутентификация, роли и права (специалист, руководитель, администратор), журнал доступа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Входы/выходы: </w:t>
      </w:r>
      <w:r>
        <w:t xml:space="preserve">Выдаёт/проверяет токены; источник прав для всех сервисов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Stateless; интеграция с LDAP/SSO заказчика опционально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Технология: </w:t>
      </w:r>
      <w:r>
        <w:t xml:space="preserve">OAuth2/OIDC, JWT; on-prem (например, Keycloak)</w:t>
      </w:r>
    </w:p>
    <w:p>
      <w:pPr>
        <w:pStyle w:val="Heading2"/>
      </w:pPr>
      <w:r>
        <w:t xml:space="preserve">5.3. Оркестрация (L3)</w:t>
      </w:r>
    </w:p>
    <w:p>
      <w:pPr>
        <w:pStyle w:val="Heading3"/>
      </w:pPr>
      <w:r>
        <w:t xml:space="preserve">M10. Оркестратор ИИ-конвейера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Управляет сквозным процессом обработки запроса (верификация → RFQ → сорсинг → рассылка → извлечение → контроль полноты → дозапрос → сводка → эскалация), хранит состояние процесса, реализует повторы и компенсации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Входы/выходы: </w:t>
      </w:r>
      <w:r>
        <w:t xml:space="preserve">Реагирует на события; вызывает ИИ-сервисы и коннекторы; публикует прогресс для UI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По числу одновременных процессов; состояние — во внешнем хранилище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Технология: </w:t>
      </w:r>
      <w:r>
        <w:t xml:space="preserve">Workflow/durable-движок (например, Temporal) либо явный конечный автомат поверх очередей; идемпотентные шаги</w:t>
      </w:r>
    </w:p>
    <w:p>
      <w:pPr>
        <w:pStyle w:val="Heading2"/>
      </w:pPr>
      <w:r>
        <w:t xml:space="preserve">5.4. ИИ/ML-слой (L4)</w:t>
      </w:r>
    </w:p>
    <w:p>
      <w:pPr>
        <w:spacing w:after="120" w:before="0" w:line="276"/>
      </w:pPr>
      <w:r>
        <w:t xml:space="preserve">Самый ресурсоёмкий слой. Каждый ИИ-сервис изолирован, чтобы масштабироваться и обновляться отдельно. Модели — локальные, on-prem.</w:t>
      </w:r>
    </w:p>
    <w:p>
      <w:pPr>
        <w:pStyle w:val="Heading3"/>
      </w:pPr>
      <w:r>
        <w:t xml:space="preserve">M11. Сервис LLM-инференса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Единая точка вызова языковой модели: генерация текста и structured output (function calling). Управляет очередью запросов и токен-бюджетами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Линейка моделей: </w:t>
      </w:r>
      <w:r>
        <w:t xml:space="preserve">Qwen3 (Alibaba Cloud, Apache 2.0) — лучшая поддержка китайского, стабильный tool calling. Размер модели подбирается под железо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MVP-развёртывание: </w:t>
      </w:r>
      <w:r>
        <w:t xml:space="preserve">Встроенный inference-движок без внешних программ: бинарь llama-server (llama.cpp) и GGUF-модель Qwen3-8B (Q4_K_M) поставляются внутри приложения. Бэкенд запускает llama-server как дочерний процесс, ждёт готовности порта и вызывает его по 127.0.0.1 через OpenAI-совместимый /v1/chat/completions. На RTX 4060 8 ГБ + 32 ГБ ОЗУ: ~7,2 ГБ VRAM, ~40 ток/с, ctx 4096, обязательно --parallel 1 (один KV-кэш против OOM), --n-gpu-layers 99 (автоподбор), GPU-ускорение через Vulkan/CUDA. Резерв — Qwen3-1.7B. Бэкенд управляет жизненным циклом (старт, health-check, остановка, снятие осиротевших процессов). OCR (M13) и эмбеддинги (M15) — на CPU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Продакшен-развёртывание: </w:t>
      </w:r>
      <w:r>
        <w:t xml:space="preserve">Qwen3-32B (dense) или Qwen3-30B-A3B (MoE) через vLLM на GPU класса H100 80GB; батчинг, реплики на дополнительных GPU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Смена модели/движка — через конфигурацию, без правок потребителей; circuit breaker по токен-бюджету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Контракт: </w:t>
      </w:r>
      <w:r>
        <w:t xml:space="preserve">OpenAI-совместимый API (/chat/completions с tools) — и встроенный llama-server, и vLLM его поддерживают, поэтому переход MVP→продакшен не меняет код</w:t>
      </w:r>
    </w:p>
    <w:p>
      <w:pPr>
        <w:pStyle w:val="Heading3"/>
      </w:pPr>
      <w:r>
        <w:t xml:space="preserve">M12. Сервис извлечения данных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Превращение письма/сообщения в структурированную котировку по JSON-схеме; оценка confidence по каждому полю; запуск дозапроса/эскалации при низкой уверенности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Входы/выходы: </w:t>
      </w:r>
      <w:r>
        <w:t xml:space="preserve">Нормализованный текст → объект Quote (JSON); событие QuoteExtracted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Stateless-воркеры; масштаб по длине очереди парсинга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Технология: </w:t>
      </w:r>
      <w:r>
        <w:t xml:space="preserve">LLM (M11) + детерминированные валидаторы (CAS-чек, regex цен/валют, словарь Incoterms)</w:t>
      </w:r>
    </w:p>
    <w:p>
      <w:pPr>
        <w:pStyle w:val="Heading3"/>
      </w:pPr>
      <w:r>
        <w:t xml:space="preserve">M13. Сервис OCR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Распознавание сканов/фото CoA/TDS перед извлечением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Входы/выходы: </w:t>
      </w:r>
      <w:r>
        <w:t xml:space="preserve">Файл-вложение → текст/структура страницы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MVP: </w:t>
      </w:r>
      <w:r>
        <w:t xml:space="preserve">CPU-движок PaddleOCR (хороший китайский) или Tesseract — не занимает VRAM, которая нужна основной LLM на RTX 4060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Воркеры; в продакшене — мультимодальная Qwen2.5-VL на GPU при необходимости</w:t>
      </w:r>
    </w:p>
    <w:p>
      <w:pPr>
        <w:pStyle w:val="Heading3"/>
      </w:pPr>
      <w:r>
        <w:t xml:space="preserve">M14. Сервис перевода/нормализации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Приведение ответов (китайский/английский) к единому языку и единицам до извлечения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Входы/выходы: </w:t>
      </w:r>
      <w:r>
        <w:t xml:space="preserve">Исходный текст → нормализованный текст с языковыми метаданными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Stateless; может использовать ту же LLM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Технология: </w:t>
      </w:r>
      <w:r>
        <w:t xml:space="preserve">LLM (M11) или отдельная MT-модель; словари единиц/терминов</w:t>
      </w:r>
    </w:p>
    <w:p>
      <w:pPr>
        <w:pStyle w:val="Heading3"/>
      </w:pPr>
      <w:r>
        <w:t xml:space="preserve">M15. Сервис эмбеддингов и Retrieval/RAG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Индексация истории закупок, документов и котировок; семантический поиск контекста для дозапросов и оценки адекватности цены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Входы/выходы: </w:t>
      </w:r>
      <w:r>
        <w:t xml:space="preserve">Текст → векторы; запрос → релевантные фрагменты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Индексация офлайн; поиск — реплики; pgvector/выделенная векторная БД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Технология: </w:t>
      </w:r>
      <w:r>
        <w:t xml:space="preserve">Эмбеддинги bge-m3 (мультиязычные), на MVP считаются на CPU (32 ГБ ОЗУ достаточно), чтобы не отнимать VRAM у LLM; гибридный поиск (вектор + ключевые слова)</w:t>
      </w:r>
    </w:p>
    <w:p>
      <w:pPr>
        <w:pStyle w:val="Heading2"/>
      </w:pPr>
      <w:r>
        <w:t xml:space="preserve">5.5. Слой интеграций (L5)</w:t>
      </w:r>
    </w:p>
    <w:p>
      <w:pPr>
        <w:spacing w:after="120" w:before="0" w:line="276"/>
      </w:pPr>
      <w:r>
        <w:t xml:space="preserve">Все внешние каналы реализуются как адаптеры с единым внутренним интерфейсом «отправить/получить сообщение», что позволяет менять провайдеров и добавлять каналы (WeChat, Alibaba TM) без правок ядра.</w:t>
      </w:r>
    </w:p>
    <w:p>
      <w:pPr>
        <w:pStyle w:val="Heading3"/>
      </w:pPr>
      <w:r>
        <w:t xml:space="preserve">M16. Коннектор Email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Отправка RFQ/дозапросов (SMTP) и приём ответов (IMAP); дедупликация и сшивка тредов; извлечение вложений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Приватность: </w:t>
      </w:r>
      <w:r>
        <w:t xml:space="preserve">Полностью в контуре заказчика — предпочтителен для чувствительных условий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Пул воркеров; лимиты и прогрев домена против антиспама</w:t>
      </w:r>
    </w:p>
    <w:p>
      <w:pPr>
        <w:pStyle w:val="Heading3"/>
      </w:pPr>
      <w:r>
        <w:t xml:space="preserve">M17. Коннектор WhatsApp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Отправка/приём сообщений и шаблонов через WhatsApp Cloud API; вебхуки входящих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Ограничение: </w:t>
      </w:r>
      <w:r>
        <w:t xml:space="preserve">On-Premises API отключён Meta (23.10.2025) — доступен только Cloud API; трафик проходит через Meta. Режим обработки данных согласуется с заказчиком; для чувствительного контента — email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По лимитам Cloud API; вебхук-приём через очередь</w:t>
      </w:r>
    </w:p>
    <w:p>
      <w:pPr>
        <w:pStyle w:val="Heading3"/>
      </w:pPr>
      <w:r>
        <w:t xml:space="preserve">M18. Коннектор верификации вещества (PubChem) и Echemi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Назначение: </w:t>
      </w:r>
      <w:r>
        <w:t xml:space="preserve">Проверка вещества по CAS-номеру и подготовка к публикации RFQ. Состоит из двух частей: реальной верификации CAS и заглушки Echemi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Верификация CAS (реальная, MVP): </w:t>
      </w:r>
      <w:r>
        <w:t xml:space="preserve">PubChem PUG REST без ключей: запрос xref/RN/{cas}/cids подтверждает существование CAS-номера, затем property (IUPACName, MolecularFormula, MolecularWeight) и synonyms дают наименование и синонимы вещества. Резерв/альтернатива — CommonChemistry (CAS Registry)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Echemi (заглушка): </w:t>
      </w:r>
      <w:r>
        <w:t xml:space="preserve">Публичного программного API у Echemi нет; RFQ-маркет требует ручной двойной модерации, кредитов и инициативы поставщика — сквозная автоматизация невозможна. В MVP Echemi присутствует в UI как заглушка (статус «демо/в разработке») рядом с рабочей кнопкой проверки CAS по PubChem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Развитие: </w:t>
      </w:r>
      <w:r>
        <w:t xml:space="preserve">Echemi скрыт за абстракцией коннектора: в перспективе — официальное партнёрство/VIP-доступ, либо ассист-режим (приложение готовит RFQ, специалист публикует вручную), либо браузерная автоматизация при допустимости ToS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Кэширование ответов PubChem; rate-limit; корректная обработка офлайн-режима (понятная ошибка и повтор)</w:t>
      </w:r>
    </w:p>
    <w:p>
      <w:pPr>
        <w:pStyle w:val="Heading3"/>
      </w:pPr>
      <w:r>
        <w:t xml:space="preserve">M19. Коннектор веб-сорсинга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Мониторинг открытых источников: сайты компаний, новости об инвестпроектах, экспортные лицензии, ТЭО, экологические разрешения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Реализация: </w:t>
      </w:r>
      <w:r>
        <w:t xml:space="preserve">Очередь задач сбора; нормализация в карточки поставщиков; дедупликация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Воркеры по числу источников; периодический запуск по расписанию</w:t>
      </w:r>
    </w:p>
    <w:p>
      <w:pPr>
        <w:pStyle w:val="Heading2"/>
      </w:pPr>
      <w:r>
        <w:t xml:space="preserve">5.6. Асинхронность (L6)</w:t>
      </w:r>
    </w:p>
    <w:p>
      <w:pPr>
        <w:pStyle w:val="Heading3"/>
      </w:pPr>
      <w:r>
        <w:t xml:space="preserve">M20. Брокер сообщений и воркеры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Ответственность: </w:t>
      </w:r>
      <w:r>
        <w:t xml:space="preserve">Транспорт событий между модулями; пулы воркеров для рассылки, парсинга, OCR, дозапросов, индексации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Надёжность: </w:t>
      </w:r>
      <w:r>
        <w:t xml:space="preserve">Гарантия доставки, повторы с экспоненциальной задержкой, DLQ для неуспешных, идемпотентность обработчиков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Автоскейл воркеров по длине очереди; приоритетные очереди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Технология: </w:t>
      </w:r>
      <w:r>
        <w:t xml:space="preserve">RabbitMQ/Redis Streams + Celery (или эквивалент)</w:t>
      </w:r>
    </w:p>
    <w:p>
      <w:pPr>
        <w:pStyle w:val="Heading2"/>
      </w:pPr>
      <w:r>
        <w:t xml:space="preserve">5.7. Данные и наблюдаемость (L7)</w:t>
      </w:r>
    </w:p>
    <w:p>
      <w:pPr>
        <w:pStyle w:val="Heading3"/>
      </w:pPr>
      <w:r>
        <w:t xml:space="preserve">M21. Хранилища данных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Реляционная БД: </w:t>
      </w:r>
      <w:r>
        <w:t xml:space="preserve">PostgreSQL — заявки, поставщики, контакты, котировки, коммуникации, эскалации, шаблоны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Векторный индекс: </w:t>
      </w:r>
      <w:r>
        <w:t xml:space="preserve">pgvector (или выделенная векторная БД) для RAG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Объектное хранилище: </w:t>
      </w:r>
      <w:r>
        <w:t xml:space="preserve">Вложения CoA/TDS (S3-совместимое, on-prem, напр. MinIO), шифрование на диске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Кэш: </w:t>
      </w:r>
      <w:r>
        <w:t xml:space="preserve">Redis — сессии, кэш Echemi, идемпотентные ключи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Масштабирование: </w:t>
      </w:r>
      <w:r>
        <w:t xml:space="preserve">Реплики чтения, пулы соединений, при росте — партиционирование таблиц коммуникаций</w:t>
      </w:r>
    </w:p>
    <w:p>
      <w:pPr>
        <w:pStyle w:val="Heading3"/>
      </w:pPr>
      <w:r>
        <w:t xml:space="preserve">M22. Наблюдаемость и Eval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Логи/метрики/трейсы: </w:t>
      </w:r>
      <w:r>
        <w:t xml:space="preserve">Структурные логи, метрики (Prometheus), сквозная трассировка (OpenTelemetry)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Метрики ИИ: </w:t>
      </w:r>
      <w:r>
        <w:t xml:space="preserve">Качество извлечения на golden-датасете (precision/recall по полям), доля автоизвлечения, доля дозапросов, токен-расход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Бизнес-метрики: </w:t>
      </w:r>
      <w:r>
        <w:t xml:space="preserve">Время сорсинга, полнота котировок, число эскалаций — дашборд KPI пилота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Алерты: </w:t>
      </w:r>
      <w:r>
        <w:t xml:space="preserve">Превышение latency/очередей, рост ошибок коннекторов, падение качества извлечения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6. Основные потоки данных</w:t>
      </w:r>
    </w:p>
    <w:p>
      <w:pPr>
        <w:pStyle w:val="Heading2"/>
      </w:pPr>
      <w:r>
        <w:t xml:space="preserve">6.1. Сквозной сценарий обработки запроса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Специалист в UI (M1) создаёт запрос по CAS → BFF (M2) → RFQ-сервис (M3) сохраняет RFQ и публикует событие RfqCreated.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Оркестратор (M10) запускает процесс: M18 верифицирует вещество по CAS через PubChem PUG REST (Echemi на этом шаге — заглушка в UI); сервис шаблонов (M8) и M3 формируют стандартизированный RFQ под базисы.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Параллельно коннектор веб-сорсинга (M19) ищет поставщиков; сервис поставщиков (M4) пополняет реестр.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Оркестратор ставит задачи рассылки в очередь (M20); коннекторы Email/WhatsApp (M16/M17) отправляют RFQ с запросом цены, CoA, TDS; статусы фиксируются (M8).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Входящие ответы принимаются коннекторами → нормализация/перевод (M14) → при сканах OCR (M13) → сервис извлечения (M12) через LLM (M11) формирует структурированную котировку с confidence.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Контроль полноты: если данных не хватает или уверенность ниже порога — оркестратор инициирует авто-дозапрос (M8/M16/M17) либо эскалацию (M7).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Котировки сохраняются (M5), сводная сравнительная таблица доступна в UI с экспортом; коммуникации логируются в карточку менеджера (M6).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Нестандартные кейсы (грейд, опасная логистика, дефицит, кастом-синтез) эскалируются специалисту (M7). Весь путь трассируется (M22).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6.2. Цикл авто-дозапроса (контроль полноты)</w:t>
      </w:r>
    </w:p>
    <w:p>
      <w:pPr>
        <w:spacing w:after="120" w:before="0" w:line="276"/>
      </w:pPr>
      <w:r>
        <w:t xml:space="preserve">Дозапрос реализован как замкнутый цикл с ограничением числа итераций, чтобы не зацикливаться: при неполной котировке оркестратор выбирает шаблон дозапроса по недостающим полям, отправляет его тем же каналом и треду, ждёт ответа (тайм-аут), повторно извлекает данные. После N безуспешных итераций — эскалация на человека.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7. Контракты и схемы данных</w:t>
      </w:r>
    </w:p>
    <w:p>
      <w:pPr>
        <w:pStyle w:val="Heading2"/>
      </w:pPr>
      <w:r>
        <w:t xml:space="preserve">7.1. Принципы контрактов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Внешние/синхронные вызовы — REST с OpenAPI-описанием; межсервисные высоконагруженные — допускается gRPC.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Асинхронное взаимодействие — через типизированные события с версией схемы (например, RfqCreated v1, QuoteExtracted v1).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Обратная совместимость: добавление полей не ломает потребителей; удаление — только через новую версию.</w:t>
      </w:r>
    </w:p>
    <w:p>
      <w:pPr>
        <w:pStyle w:val="Heading2"/>
      </w:pPr>
      <w:r>
        <w:t xml:space="preserve">7.2. Пример JSON-схемы котировки (structured output LLM)</w:t>
      </w:r>
    </w:p>
    <w:p>
      <w:pPr>
        <w:spacing w:after="120" w:before="0" w:line="276"/>
      </w:pPr>
      <w:r>
        <w:t xml:space="preserve">LLM возвращает строго этот объект (function calling), после чего поля проходят детерминированную валидацию:</w:t>
      </w:r>
    </w:p>
    <w:p>
      <w:pPr>
        <w:pBdr>
          <w:left w:val="single" w:color="1F4E79" w:sz="18" w:space="8"/>
        </w:pBdr>
        <w:shd w:fill="F2F2F2" w:val="clear"/>
        <w:spacing w:after="12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"substance": "string",            // наименование вещества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"cas": "string",                  // CAS, проверяется контрольной суммой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"supplier_name": "string",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"supplier_type": "manufacturer | distributor | unknown",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"manager_contact": { "name": "", "email": "", "whatsapp": "" },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"price": { "value": 0.0, "currency": "USD", "per_unit": "kg" },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"incoterms": "CIP Moscow | FCA Shanghai | EXW | other",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"moq": { "value": 0, "unit": "kg" },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"grade": "string",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"payment_terms": "string",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"lead_time_days": 0,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"has_coa": true, "has_tds": true,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"certificates": ["GMP", "ISO"],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"sample_available": true,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"field_confidence": { "price": 0.0, "incoterms": 0.0, "moq": 0.0 },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"completeness_ok": false           // вычисляется правилом полноты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7.3. Основные сущности модели данных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25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Сущность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Ключевые поля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Связи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rfq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id, cas, name, purity, application, target_price, incoterms[], channels[], status, created_at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1—N quote, 1—N communication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supplier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id, company, city, type, reputation, certificates[]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1—N contact, 1—N quote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contact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id, supplier_id, full_name, email, whatsapp, offered_substances[]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N—1 supplier, 1—N communication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quote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id, rfq_id, supplier_id, price, currency, incoterms, moq, grade, payment, lead_time, has_coa, has_tds, completeness, confidence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N—1 rfq, N—1 supplier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id, rfq_id, contact_id, direction, channel, body, attachments[], thread_id, created_at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N—1 rfq, N—1 contact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escalation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id, rfq_id, reason, status, assignee, created_at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N—1 rfq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template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id, type, language, version, body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8. Требования к масштабируемости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Горизонтальное масштабирование. </w:t>
      </w:r>
      <w:r>
        <w:t xml:space="preserve">Все прикладные и ИИ-сервисы — stateless и запускаются в N реплик за балансировщиком; целевое — линейный рост пропускной способности при добавлении реплик.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Автоскейлинг. </w:t>
      </w:r>
      <w:r>
        <w:t xml:space="preserve">Реплики сервисов масштабируются по CPU/RPS, воркеры — по длине очереди, ИИ-инференс — по загрузке GPU и времени до первого токена (TTFT).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Разделение нагрузок. </w:t>
      </w:r>
      <w:r>
        <w:t xml:space="preserve">Интерактивный трафик (UI) и пакетная обработка (парсинг/индексация/OCR) развёрнуты в отдельных пулах, чтобы рассылка не деградировала отклик интерфейса.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Очереди как буфер. </w:t>
      </w:r>
      <w:r>
        <w:t xml:space="preserve">Пиковые рассылки и всплески входящих сглаживаются очередями; приоритетные очереди для интерактивных операций.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Кэширование. </w:t>
      </w:r>
      <w:r>
        <w:t xml:space="preserve">Результаты Echemi, эмбеддинги и частые выборки кэшируются; идемпотентные ключи предотвращают повторную обработку.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Масштабирование данных. </w:t>
      </w:r>
      <w:r>
        <w:t xml:space="preserve">Реплики чтения PostgreSQL, пулы соединений; при росте объёма — партиционирование таблиц communication/quote по дате/RFQ.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ИИ-слой. </w:t>
      </w:r>
      <w:r>
        <w:t xml:space="preserve">Батчинг запросов к LLM, квантизация модели под доступный GPU, возможность вынести OCR/перевод на отдельные узлы; добавление GPU-реплик под рост числа писем.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Целевые ориентиры. </w:t>
      </w:r>
      <w:r>
        <w:t xml:space="preserve">TTFT p90 &lt; 2 c для интерактивных операций; обработка типового входящего письма (нормализация→извлечение) в пределах единиц секунд; пропускная способность рассчитывается под пиковое число RFQ/сообщений в сутки (уточняется на этапе 0).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9. Надёжность и отказоустойчивость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Повторы с экспоненциальной задержкой и джиттером для всех внешних вызовов (почта, WhatsApp, Echemi, LLM).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Circuit breaker и токен-бюджеты для ИИ-слоя — защита от лавинообразных сбоев и неконтролируемого расхода.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Dead Letter Queue для необработанных сообщений с ручным разбором; идемпотентность обработчиков против дублей.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Graceful degradation: при недоступности канала система ставит задачи в отложенную очередь и продолжает работу по другим каналам; ручной fallback для Echemi.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Сохранение состояния процессов в оркестраторе (durable workflow) — перезапуск воркера не теряет прогресс запроса.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Резервное копирование БД и объектного хранилища; проверяемое восстановление.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10. Безопасность и приватность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Развёртывание полностью в контуре заказчика; контролируемый исходящий шлюз с белым списком доменов и журналированием egress.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Локальная LLM: содержимое переписки и коммерческие условия не передаются во внешние сервисы.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RBAC (специалист/руководитель/администратор), интеграция с SSO/LDAP заказчика; журнал действий (аудит).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Шифрование данных при хранении (БД, вложения CoA/TDS) и в транзите (TLS) внутри контура.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Оговорка по WhatsApp: </w:t>
      </w:r>
      <w:r>
        <w:t xml:space="preserve">Cloud API выводит сообщения через инфраструктуру Meta. Канал ограничивается нечувствительным первичным контактом либо заменяется email для конфиденциальных условий; режим согласуется с заказчиком.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Управление секретами через защищённое хранилище (Vault/секреты оркестратора), без секретов в коде и образах.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11. Требования к ИИ-конвейеру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Извлечение только через structured output (function calling / constrained decoding) по фиксированной JSON-схеме; свободный текст не парсится напрямую.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Детерминированные валидаторы поверх LLM: контрольная сумма CAS, regex для цен/валют/единиц, словарь Incoterms, справочник сертификатов.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Оценка уверенности по каждому полю; порог направляет поле в авто-дозапрос или на ручную проверку (HITL).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Golden-датасет (100–300 размеченных реальных писем/сообщений) — единственный источник истины для метрик качества; регрессы прогоняются при каждом изменении промптов/модели.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Версионирование промптов и моделей; A/B-сравнение на golden-датасете перед выкатом.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RAG по истории закупок: подтягивание прошлых цен/условий для контекста дозапроса и проверки адекватности котировки.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12. Нефункциональные требования (сводно)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Производительность (MVP)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Qwen3-8B на RTX 4060 ~40 ток/с при контексте 16K; обработка письма — единицы–десятки секунд; пропускная способность ограничена одной машиной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Производительность (прод)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TTFT p90 &lt; 2 c для UI-операций; обработка письма — единицы секунд; пропускная способность под пик RFQ/сутки за счёт GPU-реплик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Доступность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Целевой SLO ядра ≥ 99,5% в рабочие часы; деградация по каналам не останавливает систему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Масштабируемость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Линейный рост через реплики и воркеры без изменения кода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Наблюдаемость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100% запросов трассируются; метрики качества ИИ и бизнес-KPI на дашборде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On-prem, RBAC, шифрование, аудит, контроль egress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Сопровождаемость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Модульность, контракты, IaC, автотесты, единый стиль логов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Переносимость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Развёртывание из образов в любом контуре (Docker/K8s)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13. Развёртывание и DevOps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Контейнеризация всех модулей; оркестрация — Docker Compose для пилота, Kubernetes для продакшена/масштаба.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Инфраструктура как код (IaC) и декларативные манифесты; конфигурация через переменные окружения и секрет-хранилище.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CI/CD: сборка образов, автотесты, прогон golden-датасета, стадийный выкат (dev → stage → prod в контуре).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ИИ-слой на MVP — на одной машине с бытовым GPU (RTX 4060 8 ГБ): llama-server (llama.cpp) встроен в приложение как subprocess, без внешних установок; OCR и эмбеддинги на CPU. В продакшене — выделенный GPU-узел (vLLM) и разделение пулов под интерактив и пакетную обработку; клиентский код не меняется за счёт единого OpenAI-совместимого API.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Мониторинг и алерты с первого дня; резервное копирование и план восстановления.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14. Требования к тестированию и приёмке модулей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Юнит- и контрактные тесты на каждый модуль (проверка API-контрактов).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Интеграционные тесты сквозного сценария на синтетических данных до боевых доступов.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Нагрузочное тестирование очередей и ИИ-слоя под пиковую рассылку.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Метрики извлечения на golden-датасете как gate приёмки (целевые значения — см. план реализации).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Проверка безопасности: egress-контроль, RBAC, отсутствие утечек секретов.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15. Очерёдность реализации модулей</w:t>
      </w:r>
    </w:p>
    <w:p>
      <w:pPr>
        <w:spacing w:after="120" w:before="0" w:line="276"/>
      </w:pPr>
      <w:r>
        <w:t xml:space="preserve">Порядок выстроен так, чтобы блоки можно было разрабатывать параллельно и демонстрировать инкрементально.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29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Очередь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Модули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Шаг 2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M10, M11, M12, M20, M22 (оркестратор, LLM, извлечение, очереди, наблюдаемость)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Автоизвлечение на тестовом корпусе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Шаг 3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M13, M14, M15 (OCR, перевод, RAG)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Обработка сканов и мультиязычность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Шаг 4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M16, M17, M18, M19 (коннекторы)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Боевые каналы и сорсинг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Шаг 5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M6, M7, M8, M9 (коммуникации, эскалации, шаблоны, RBAC)</w:t>
            </w:r>
          </w:p>
        </w:tc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Полный цикл и ролевая модель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16. Пользовательский интерфейс и экраны (UI/UX)</w:t>
      </w:r>
    </w:p>
    <w:p>
      <w:pPr>
        <w:spacing w:after="120" w:before="0" w:line="276"/>
      </w:pPr>
      <w:r>
        <w:t xml:space="preserve">Рабочее место специалиста по закупкам. Интерфейс русскоязычный, ориентирован на скорость и прозрачность: специалист всегда видит статус каждого запроса и полноту котировок, а спорные места ИИ-обработки подсвечиваются и требуют решения человека.</w:t>
      </w:r>
    </w:p>
    <w:p>
      <w:pPr>
        <w:pStyle w:val="Heading2"/>
      </w:pPr>
      <w:r>
        <w:t xml:space="preserve">16.1. Принципы UX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Русскоязычный интерфейс с терминологией закупок (CAS, Incoterms, грейд, CoA/TDS).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Статус виден всегда: по каждому RFQ — этап конвейера и прогресс сбора ответов; ничего не «теряется».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Человек в петле: поля с низкой уверенностью и эскалации визуально выделены и требуют подтверждения.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Минимум ручного ввода: новый запрос, дозапрос и ответ по шаблону — в один–два клика.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Прозрачность ИИ: рядом с извлечённым полем — индикатор уверенности и ссылка на исходное письмо/сообщение.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Адаптив под десктоп (основной сценарий), доступность (контраст, навигация с клавиатуры), единые дизайн-токены.</w:t>
      </w:r>
    </w:p>
    <w:p>
      <w:pPr>
        <w:pStyle w:val="Heading2"/>
      </w:pPr>
      <w:r>
        <w:t xml:space="preserve">16.2. Карта экранов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3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Экран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Ключевые элементы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Список запросов (дашборд)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Все RFQ со статусом и прогрессом сбора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Таблица, статус-бейджи, фильтры, кнопка «Новый запрос»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Создание запроса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Ввод параметров продукта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Форма: CAS, наименование, чистота, применение, ориентир цены, базисы (CIP/FCA/EXW), каналы. Рядом — заглушка Echemi (статус «демо») и рабочая кнопка «Проверить CAS по PubChem»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Карточка запроса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Верификация и ход обработки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Предпросмотр RFQ, блок верификации (рабочая проверка CAS по PubChem + заглушка Echemi), таймлайн этапов конвейера в реальном времени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Сводная таблица поставщиков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Сравнение котировок и решение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Сортировка/фильтры; колонки: поставщик, тип, цена, базис, MOQ, грейд, оплата, CoA/TDS/GMP/ISO, репутация; индикаторы полноты и уверенности; экспорт CSV/Excel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Карточка поставщика/менеджера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История и контекст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Лента переписки по каналам, контакты, перечень предлагаемых веществ, теги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Очередь эскалаций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Нестандартные кейсы человеку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Причина (грейд/логистика/дефицит/кастом-синтез), приоритет, кнопка «взять в работу»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Шаблоны и статусы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Типовые ответы и дозапросы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Редактор шаблонов с версиями, управление статусами запросов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Настройки и доступы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Администрирование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Каналы, роли (RBAC), ключи интеграций, политики хранения</w:t>
            </w:r>
          </w:p>
        </w:tc>
      </w:tr>
    </w:tbl>
    <w:p>
      <w:pPr>
        <w:pStyle w:val="Heading2"/>
      </w:pPr>
      <w:r>
        <w:t xml:space="preserve">16.3. Ключевой сценарий (happy path)</w:t>
      </w:r>
    </w:p>
    <w:p>
      <w:pPr>
        <w:spacing w:after="120" w:before="0" w:line="276"/>
      </w:pPr>
      <w:r>
        <w:t xml:space="preserve">Специалист создаёт запрос по CAS → видит верификацию на Echemi и предпросмотр RFQ → запускает рассылку → на карточке запроса наблюдает живой статус-конвейер (поиск → рассылка → сбор → парсинг → дозапрос) → открывает сводную таблицу, сравнивает котировки, дорабатывает спорные поля и экспортирует результат. Нестандартные кейсы уходят в очередь эскалаций.</w:t>
      </w:r>
    </w:p>
    <w:p>
      <w:pPr>
        <w:pStyle w:val="Heading2"/>
      </w:pPr>
      <w:r>
        <w:t xml:space="preserve">16.4. Состояния и обратная связь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Прогресс конвейера обновляется в реальном времени (WebSocket): этапы, проценты, число полученных ответов.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Пустые состояния (нет ответов/нет данных), ошибки канала (недоступен Echemi/почта/WhatsApp) и низкая уверенность извлечения показываются явно, с подсказкой действия.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Поля, извлечённые ИИ, отделены от подтверждённых человеком; правки специалиста фиксируются в истории.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16.5. Блок верификации вещества: заглушка Echemi и проверка CAS по PubChem</w:t>
      </w:r>
    </w:p>
    <w:p>
      <w:pPr>
        <w:spacing w:after="120" w:before="0" w:line="276"/>
      </w:pPr>
      <w:r>
        <w:t xml:space="preserve">На экранах создания и карточки запроса размещается блок верификации. Echemi показан как визуальная заглушка со статусом «демо / интеграция в разработке» — это сохраняет место под будущую интеграцию и не вводит пользователя в заблуждение. Рядом расположена рабочая кнопка «Проверить CAS по PubChem».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По нажатию приложение обращается к PubChem PUG REST по введённому CAS: подтверждение существования номера (xref/RN/{cas}/cids), затем наименование (IUPACName), брутто-формула, молекулярная масса и синонимы.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Результат показывается рядом с полем CAS: «найдено / не найдено»; наименование и синонимы подставляются в форму одним кликом.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Заглушка Echemi визуально отделена и помечена как недоступная для действий в MVP; при появлении интеграции она заменяется рабочим коннектором без изменения остального UI.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Запрос к PubChem кэшируется; при недоступности сети показывается понятная ошибка с возможностью повторить проверку.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17. Конкретика извлечения данных: промпты и golden-датасет</w:t>
      </w:r>
    </w:p>
    <w:p>
      <w:pPr>
        <w:spacing w:after="120" w:before="0" w:line="276"/>
      </w:pPr>
      <w:r>
        <w:t xml:space="preserve">Детализация модулей M12 (извлечение) и M14 (нормализация): как именно письмо/сообщение превращается в структурированную котировку.</w:t>
      </w:r>
    </w:p>
    <w:p>
      <w:pPr>
        <w:pStyle w:val="Heading2"/>
      </w:pPr>
      <w:r>
        <w:t xml:space="preserve">17.1. Конвейер извлечения по шагам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Предобработка: определение языка, перевод и нормализация (M14), OCR вложений (M13), очистка подписей и цитат предыдущих писем.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Извлечение: вызов LLM с function calling по JSON-схеме котировки (раздел 7.2) — модель возвращает строго объект схемы.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Детерминированная валидация: контрольная сумма CAS, regex для цены/валюты/единиц, словарь Incoterms, справочник сертификатов.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Оценка уверенности по каждому полю; значение ниже порога направляет поле в авто-дозапрос или на ручную проверку (HITL).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Запись котировки в M5 и публикация события QuoteExtracted.</w:t>
      </w:r>
    </w:p>
    <w:p>
      <w:pPr>
        <w:pStyle w:val="Heading2"/>
      </w:pPr>
      <w:r>
        <w:t xml:space="preserve">17.2. Системный промпт (пример)</w:t>
      </w:r>
    </w:p>
    <w:p>
      <w:pPr>
        <w:pBdr>
          <w:left w:val="single" w:color="1F4E79" w:sz="18" w:space="8"/>
        </w:pBdr>
        <w:shd w:fill="F2F2F2" w:val="clear"/>
        <w:spacing w:after="12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Ты — ассистент отдела закупок химического сырья.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Задача: извлечь из письма поставщика структурированную котировку.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Верни ТОЛЬКО объект по заданной JSON-схеме, без пояснений и текста вокруг.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Не выдумывай данные: если поля нет в письме — ставь null.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Нормализуй валюту к ISO (USD/CNY/EUR), единицы — к кг, базис — к Incoterms.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Язык письма может быть китайским или английским; термины приводи к стандарту.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Для каждого ключевого поля укажи уверенность 0..1 в field_confidence.</w:t>
      </w:r>
    </w:p>
    <w:p>
      <w:pPr>
        <w:pStyle w:val="Heading2"/>
      </w:pPr>
      <w:r>
        <w:t xml:space="preserve">17.3. Промпт извлечения (пользовательское сообщение)</w:t>
      </w:r>
    </w:p>
    <w:p>
      <w:pPr>
        <w:pBdr>
          <w:left w:val="single" w:color="1F4E79" w:sz="18" w:space="8"/>
        </w:pBdr>
        <w:shd w:fill="F2F2F2" w:val="clear"/>
        <w:spacing w:after="12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СХЕМА: &lt;JSON-схема котировки из раздела 7.2&gt;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ПИСЬМО (нормализованный текст):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&lt;тело входящего письма после перевода и очистки&gt;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Верни заполненный объект схемы.</w:t>
      </w:r>
    </w:p>
    <w:p>
      <w:pPr>
        <w:pStyle w:val="Heading2"/>
      </w:pPr>
      <w:r>
        <w:t xml:space="preserve">17.4. Правила нормализации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Валюта: символы и слова (юань, RMB, ¥, $, €) → коды ISO (CNY, USD, EUR).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Единицы: kg / MT / ton / тонна → приводятся к кг (с пересчётом цены за единицу).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Базис: формулировки приводятся к канону Incoterms (CIP Moscow / FCA Shanghai / EXW).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Чистота и грейд: проценты и обозначения грейда нормализуются к единому формату.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MOQ: минимальный объём приводится к числу и единице; диапазоны фиксируются явно.</w:t>
      </w:r>
    </w:p>
    <w:p>
      <w:pPr>
        <w:pStyle w:val="Heading2"/>
      </w:pPr>
      <w:r>
        <w:t xml:space="preserve">17.5. Контроль полноты и авто-дозапрос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Обязательные поля: </w:t>
      </w:r>
      <w:r>
        <w:t xml:space="preserve">цена, базис поставки, MOQ, спецификация (TDS), наличие/готовность CoA, возможность отбора образцов.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Если поля отсутствуют или уверенность ниже порога — система выбирает шаблон дозапроса по недостающим пунктам и отправляет его тем же каналом и в том же треде.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Лимит итераций дозапроса (например, N=2); после исчерпания — эскалация на специалиста (M7), чтобы не зацикливаться.</w:t>
      </w:r>
    </w:p>
    <w:p>
      <w:pPr>
        <w:pStyle w:val="Heading2"/>
      </w:pPr>
      <w:r>
        <w:t xml:space="preserve">17.6. Golden-датасет и метрики качества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Состав: 100–300 реальных писем/сообщений, размеченных доменным экспертом; покрыть китайские и английские, полные и неполные ответы, сканы (для OCR). Данные обезличиваются (см. раздел 18).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Разметка: эталонный JSON котировки на каждое письмо — единственный источник истины для метрик.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Метрики: precision/recall по каждому полю, доля полностью корректных котировок, доля автоизвлечения без участия человека.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Пороги приёмки: целевые значения берутся из плана реализации (MVP ≥ 70%, продакшен ≥ 85%; точность по цене/базису/MOQ ≥ 90/95%).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Регресс: прогон golden-датасета при каждом изменении промпта или модели; версии промптов и моделей фиксируются и сравниваются (A/B).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Обратная связь: ошибочные и пропущенные поля из эксплуатации возвращаются в golden-датасет (active learning).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18. Обработка персональных данных (152-ФЗ)</w:t>
      </w:r>
    </w:p>
    <w:p>
      <w:pPr>
        <w:spacing w:after="120" w:before="0" w:line="276"/>
      </w:pPr>
      <w:r>
        <w:t xml:space="preserve">Система обрабатывает персональные данные представителей поставщиков (ФИО, email, телефон/WhatsApp, содержимое переписки), поэтому подпадает под Федеральный закон №152-ФЗ. On-premise-развёртывание упрощает локализацию данных, но не снимает обязанностей оператора. Требования ниже — инженерные; юридическую квалификацию (уровень защищённости, правовые основания, перечень мер) подтверждает DPO/юрист заказчика.</w:t>
      </w:r>
    </w:p>
    <w:p>
      <w:pPr>
        <w:spacing w:after="120" w:before="0" w:line="276"/>
      </w:pPr>
      <w:r>
        <w:rPr>
          <w:i/>
          <w:iCs/>
        </w:rPr>
        <w:t xml:space="preserve">Важно: с 30.05.2025 действует ужесточённая редакция 152-ФЗ (расширен круг операторов, усилена ответственность, обязательное уведомление об инцидентах). В 2026 ожидается более строгий контроль. Это не юридическая консультация.</w:t>
      </w:r>
    </w:p>
    <w:p>
      <w:pPr>
        <w:pStyle w:val="Heading2"/>
      </w:pPr>
      <w:r>
        <w:t xml:space="preserve">18.1. Какие ПДн обрабатываются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ФИО менеджера поставщика, рабочий email, телефон/WhatsApp, содержимое деловой переписки и история коммуникаций. Категория — иные ПДн (не специальные и не биометрические).</w:t>
      </w:r>
    </w:p>
    <w:p>
      <w:pPr>
        <w:pStyle w:val="Heading2"/>
      </w:pPr>
      <w:r>
        <w:t xml:space="preserve">18.2. Обязанности оператора (на стороне заказчика)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Локализация: хранение и обработка ПДн на серверах в РФ (ст. 18 152-ФЗ). On-premise в контуре заказчика это обеспечивает.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Уведомление Роскомнадзора о намерении обрабатывать ПДн до начала обработки; об изменениях — в установленный срок (порядка 10 дней).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Правовое основание: для B2B-контактов, как правило, законный интерес/договорные отношения; основание и цели обработки фиксируются документально.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Комплект документов оператора: Политика обработки ПДн, перечень обрабатываемых ПДн, приказы о назначении ответственных, модель угроз, регламент реагирования на инциденты, журнал учёта.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Меры защиты по требованиям ФСТЭК/Роскомнадзора согласно определённому уровню защищённости (для данного класса данных вероятен УЗ-4): разграничение доступа, регистрация событий безопасности, контроль целостности, антивирусная защита и т.д.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Уведомление об утечках: при инциденте с ПДн оператор обязан уведомить Роскомнадзор в сжатые сроки, установленные регулятором — заложить процесс и журнал инцидентов.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Трансграничная передача: WhatsApp Cloud API передаёт сообщения через инфраструктуру Meta за пределы РФ — требует отдельного основания/согласия либо отказа от канала для ПДн. Согласовать с юристами заказчика (перекликается с разделом 11).</w:t>
      </w:r>
    </w:p>
    <w:p>
      <w:pPr>
        <w:pStyle w:val="Heading2"/>
      </w:pPr>
      <w:r>
        <w:t xml:space="preserve">18.3. Требования к системе (что реализуем в продукте)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RBAC и журнал доступа к ПДн: кто, когда и какие данные просматривал/изменял.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Шифрование ПДн при хранении (БД, вложения) и в транзите внутри контура.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Обезличивание/маскирование ПДн в логах, трейсах и аналитике — персональные данные не попадают в наблюдаемость.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Управление сроками хранения и автоматическое удаление/обезличивание по истечении срока и по запросу субъекта.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Разделение боевых ПДн и тестовых данных: golden-датасет (раздел 17) строится на обезличенных/синтетических данных.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Контролируемый egress: фиксируется, какие данные и в какие внешние каналы уходят (особое внимание — WhatsApp и Echemi).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19. Взаимодействие по email и WhatsApp (детализация M16/M17)</w:t>
      </w:r>
    </w:p>
    <w:p>
      <w:pPr>
        <w:spacing w:after="120" w:before="0" w:line="276"/>
      </w:pPr>
      <w:r>
        <w:t xml:space="preserve">Оба канала скрыты за единой абстракцией коннектора с общими операциями «отправить сообщение» и «получить сообщение» в нормализованном формате. Вся работа асинхронна (через очереди L6): исходящие RFQ и дозапросы ставятся в очередь рассылки, входящие — в очередь обработки. Любое входящее проходит единый маршрут: нормализация/перевод (M14) → OCR вложений (M13) → извлечение котировки (M12) → контроль полноты → дозапрос/эскалация → запись (M5/M6).</w:t>
      </w:r>
    </w:p>
    <w:p>
      <w:pPr>
        <w:pStyle w:val="Heading2"/>
      </w:pPr>
      <w:r>
        <w:t xml:space="preserve">19.1. Email (M16)</w:t>
      </w:r>
    </w:p>
    <w:p>
      <w:pPr>
        <w:pStyle w:val="Heading3"/>
      </w:pPr>
      <w:r>
        <w:t xml:space="preserve">Отправка (SMTP)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RFQ и дозапросы уходят по SMTP из контура заказчика, при необходимости с вложениями; тема стандартизирована (вещество + CAS + базисы) для читаемости и сшивки.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Тред-трекинг: на каждое исходящее формируется Message-ID; ответы связываются по заголовкам In-Reply-To и References.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Доставляемость: настроенные SPF/DKIM/DMARC на домене, прогрев домена, лимиты отправки, корректные From/Reply-To и способ отказа (opt-out) — против попадания в спам.</w:t>
      </w:r>
    </w:p>
    <w:p>
      <w:pPr>
        <w:pStyle w:val="Heading3"/>
      </w:pPr>
      <w:r>
        <w:t xml:space="preserve">Приём (IMAP)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Чтение входящих по IMAP (поллинг по расписанию или режим IDLE); выделенный ящик/алиас под сорсинг.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Разбор MIME: текст и HTML тела, выделение вложений (CoA/TDS) в объектное хранилище и передача их в OCR (M13).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Очистка перед извлечением: удаление цитат предыдущих писем и подписей, чтобы LLM работал по сути ответа.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Сшивка тредов: по Message-ID / In-Reply-To / References плюс эвристика по теме и адресу; привязка к RFQ и менеджеру (M6).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Дедупликация по Message-ID и идемпотентная обработка: повторная доставка письма не создаёт дублей котировок.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Служебные письма: автоответы (out-of-office) и отчёты о недоставке (bounce/NDR) распознаются и не считаются котировками; статус контакта обновляется.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Email полностью в контуре заказчика — предпочтительный канал для конфиденциальных условий (см. разделы 11 и 18).</w:t>
      </w:r>
    </w:p>
    <w:p>
      <w:pPr>
        <w:pStyle w:val="Heading2"/>
      </w:pPr>
      <w:r>
        <w:t xml:space="preserve">19.2. WhatsApp (M17) — через Cloud API</w:t>
      </w:r>
    </w:p>
    <w:p>
      <w:pPr>
        <w:spacing w:after="120" w:before="0" w:line="276"/>
      </w:pPr>
      <w:r>
        <w:t xml:space="preserve">Доступен только WhatsApp Cloud API (On-Premises API отключён Meta 23.10.2025); трафик идёт через инфраструктуру Meta, поэтому режим обработки ПДн согласуется с заказчиком (разделы 11 и 18).</w:t>
      </w:r>
    </w:p>
    <w:p>
      <w:pPr>
        <w:pStyle w:val="Heading3"/>
      </w:pPr>
      <w:r>
        <w:t xml:space="preserve">Предусловия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WhatsApp Business Account (WABA), верифицированный бизнес, зарегистрированный номер (phone-number-id), одобренное отображаемое имя и токен доступа.</w:t>
      </w:r>
    </w:p>
    <w:p>
      <w:pPr>
        <w:pStyle w:val="Heading3"/>
      </w:pPr>
      <w:r>
        <w:t xml:space="preserve">Отправка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Первый контакт (вне 24-часового окна) — только одобренные шаблоны. </w:t>
      </w:r>
      <w:r>
        <w:t xml:space="preserve">Бизнес-инициированные сообщения Meta пропускает лишь как заранее одобренные шаблоны (template messages). Первое касание поставщика оформляется шаблоном с переменными (вещество, CAS, базисы).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В 24-часовом окне обслуживания — свободные сообщения. </w:t>
      </w:r>
      <w:r>
        <w:t xml:space="preserve">После ответа поставщика открывается окно на 24 часа, внутри которого можно слать произвольные сообщения (дозапрос, уточнения) без шаблона. Каждый новый входящий сбрасывает таймер окна на 24 часа.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Технически: POST на Graph API /{phone-number-id}/messages с токеном; вложения (CoA/TDS) — через media-эндпоинты.</w:t>
      </w:r>
    </w:p>
    <w:p>
      <w:pPr>
        <w:pStyle w:val="Heading3"/>
      </w:pPr>
      <w:r>
        <w:t xml:space="preserve">Приём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Вебхук (HTTPS-callback + verify-token), который Meta вызывает на входящие сообщения и статусы (доставлено/прочитано); подпись вебхука проверяется.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Входящие ставятся в очередь (L6) и идут по общему маршруту обработки; по каждому контакту трекается состояние 24-часового окна (определяет, можно ли слать free-form или нужен шаблон).</w:t>
      </w:r>
    </w:p>
    <w:p>
      <w:pPr>
        <w:pStyle w:val="Heading3"/>
      </w:pPr>
      <w:r>
        <w:t xml:space="preserve">Ограничения и меры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Шаблоны проходят модерацию Meta (требует времени, возможна пауза/блокировка при низком качестве) — набор шаблонов готовится заранее.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Тарификация за разговоры/категории шаблонов — учитывается в эксплуатации.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Для конфиденциальных условий предпочтителен email; WhatsApp — для первичного касания и оперативной связи. При необходимости managed-доступа/комплаенса — через BSP-провайдера.</w:t>
      </w:r>
    </w:p>
    <w:p>
      <w:pPr>
        <w:pStyle w:val="Heading2"/>
      </w:pPr>
      <w:r>
        <w:t xml:space="preserve">19.3. Сравнение каналов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63"/>
        <w:gridCol w:w="3363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WhatsApp (Cloud API)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Инициация контакта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Свободное письмо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Только одобренный шаблон (вне окна)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Свободные сообщения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Всегда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Только в 24-часовом окне после ответа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Приём входящих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IMAP (поллинг/IDLE)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Вебхук Meta (HTTPS-callback)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Вложения CoA/TDS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MIME-вложения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Media API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Тред-трекинг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Message-ID / References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По контакту + окно 24 ч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Данные в контуре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Да (on-prem)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Нет — через инфраструктуру Meta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Доставляемость/лимиты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SPF/DKIM/DMARC, прогрев домена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Категории/тарифы Meta, модерация шаблонов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Приоритет использования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Конфиденциальные условия</w:t>
            </w:r>
          </w:p>
        </w:tc>
        <w:tc>
          <w:tcPr>
            <w:tcW w:type="dxa" w:w="336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 w:line="248"/>
            </w:pPr>
            <w:r>
              <w:rPr>
                <w:sz w:val="19"/>
                <w:szCs w:val="19"/>
              </w:rPr>
              <w:t xml:space="preserve">Первичное касание, оперативная связь</w:t>
            </w:r>
          </w:p>
        </w:tc>
      </w:tr>
    </w:tbl>
    <w:p>
      <w:pPr>
        <w:pStyle w:val="Heading2"/>
      </w:pPr>
      <w:r>
        <w:t xml:space="preserve">19.4. Общая обработка входящих и дозапрос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Единый нормализованный формат сообщения: {канал, отправитель, контакт, тред, текст, вложения, время}; идемпотентность и дедупликация на входе.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Дозапрос отправляется тем же каналом и в том же треде/окне; для WhatsApp вне окна — шаблон дозапроса; лимит итераций, далее эскалация (M7).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Статусы (отправлено / доставлено / прочитано / получен ответ) и история коммуникаций отражаются в карточке менеджера (M6) и в UI; ПДн в логах маскируются (раздел 18).</w:t>
      </w:r>
    </w:p>
    <w:p>
      <w:pPr>
        <w:spacing w:after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6"/>
          <w:szCs w:val="16"/>
        </w:rPr>
        <w:t xml:space="preserve">Документ описывает требования к архитектуре ChemSource AI и дополняет план реализации проекта. Конкретные технологии в рамках указанных принципов уточняются командой на этапе проектирования.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ChemSource AI — ТЗ на разработку (архитектура)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2026-06-02T16:39:26.239Z</dcterms:created>
  <dcterms:modified xsi:type="dcterms:W3CDTF">2026-06-02T16:39:26.239Z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