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GSBLAB — Chiffrage Migration SI v10 — Juin 2026</w:t>
      </w:r>
    </w:p>
    <w:p>
      <w:pPr>
        <w:pStyle w:val="BodyText"/>
        <w:rPr/>
      </w:pPr>
      <w:r>
        <w:rPr>
          <w:b/>
          <w:bCs/>
        </w:rPr>
        <w:t>GSBLAB</w:t>
      </w:r>
    </w:p>
    <w:p>
      <w:pPr>
        <w:pStyle w:val="BodyText"/>
        <w:rPr/>
      </w:pPr>
      <w:r>
        <w:rPr>
          <w:b/>
          <w:bCs/>
        </w:rPr>
        <w:t>Chiffrage Projet de Migration SI</w:t>
      </w:r>
    </w:p>
    <w:p>
      <w:pPr>
        <w:pStyle w:val="BodyText"/>
        <w:rPr/>
      </w:pPr>
      <w:r>
        <w:rPr>
          <w:i/>
          <w:iCs/>
        </w:rPr>
        <w:t>« Comment migrer en bonne santé ? »</w:t>
      </w:r>
    </w:p>
    <w:p>
      <w:pPr>
        <w:pStyle w:val="BodyText"/>
        <w:rPr/>
      </w:pPr>
      <w:r>
        <w:rPr/>
        <w:t>Proposition technique et financière</w:t>
      </w:r>
    </w:p>
    <w:p>
      <w:pPr>
        <w:pStyle w:val="BodyText"/>
        <w:rPr/>
      </w:pPr>
      <w:r>
        <w:rPr/>
        <w:t>Période couverte : 2026 — 2030 (5 ans)</w:t>
      </w:r>
    </w:p>
    <w:p>
      <w:pPr>
        <w:pStyle w:val="BodyText"/>
        <w:rPr/>
      </w:pPr>
      <w:r>
        <w:rPr>
          <w:b/>
          <w:bCs/>
        </w:rPr>
        <w:t>Budget plafonné à 450 000 € HT</w:t>
      </w:r>
    </w:p>
    <w:p>
      <w:pPr>
        <w:pStyle w:val="BodyText"/>
        <w:rPr/>
      </w:pPr>
      <w:r>
        <w:rPr>
          <w:i/>
          <w:iCs/>
        </w:rPr>
        <w:t>Version 10 — Juin 2026</w:t>
      </w:r>
    </w:p>
    <w:p>
      <w:pPr>
        <w:pStyle w:val="Heading1"/>
        <w:rPr/>
      </w:pPr>
      <w:r>
        <w:rPr>
          <w:b/>
          <w:bCs/>
        </w:rPr>
        <w:t>1. Philosophie du projet</w:t>
      </w:r>
    </w:p>
    <w:p>
      <w:pPr>
        <w:pStyle w:val="FirstParagraph"/>
        <w:rPr/>
      </w:pPr>
      <w:r>
        <w:rPr/>
        <w:t>Ce chiffrage repose sur un principe directeur : ne modifier que ce qui est strictement nécessaire. Chaque dépense est justifiée par une obsolescence avérée, une non-conformité réglementaire, ou un besoin fonctionnel lié à l’expansion multi-sites de GSBLAB.</w:t>
      </w:r>
    </w:p>
    <w:p>
      <w:pPr>
        <w:pStyle w:val="BodyText"/>
        <w:rPr/>
      </w:pPr>
      <w:r>
        <w:rPr/>
        <w:t>À l’inverse, chaque décision de conservation est explicitement justifiée : un composant n’est gardé que s’il apporte une valeur claire (technique, financière, ou de conformité). L’analyse détaillée de l’existant figure en section 3.</w:t>
      </w:r>
    </w:p>
    <w:p>
      <w:pPr>
        <w:pStyle w:val="BodyText"/>
        <w:rPr/>
      </w:pPr>
      <w:r>
        <w:rPr/>
        <w:t>La présente version intègre par ailleurs trois exigences essentielles :</w:t>
      </w:r>
    </w:p>
    <w:p>
      <w:pPr>
        <w:pStyle w:val="Normal"/>
        <w:numPr>
          <w:ilvl w:val="0"/>
          <w:numId w:val="1"/>
        </w:numPr>
        <w:rPr/>
      </w:pPr>
      <w:r>
        <w:rPr/>
        <w:t>Un horizon d’étalement sur 5 ans (2026-2030) pour refléter le cycle réel d’amortissement des investissements et la stabilité des coûts récurrents (M365, ESET, support Proxmox).</w:t>
      </w:r>
    </w:p>
    <w:p>
      <w:pPr>
        <w:pStyle w:val="Normal"/>
        <w:numPr>
          <w:ilvl w:val="0"/>
          <w:numId w:val="1"/>
        </w:numPr>
        <w:rPr/>
      </w:pPr>
      <w:r>
        <w:rPr/>
        <w:t>Une transparence totale sur les arbitrages : pour chaque poste de dépense, les alternatives envisagées sont présentées et le choix est explicitement justifié.</w:t>
      </w:r>
    </w:p>
    <w:p>
      <w:pPr>
        <w:pStyle w:val="Normal"/>
        <w:numPr>
          <w:ilvl w:val="0"/>
          <w:numId w:val="1"/>
        </w:numPr>
        <w:rPr/>
      </w:pPr>
      <w:r>
        <w:rPr/>
        <w:t>Une optimisation budgétaire par engagement contractuel : volume, durée pluriannuelle et partenariats CSP/revendeurs agréés, intégrés directement dans les tarifs retenus.</w:t>
      </w:r>
    </w:p>
    <w:p>
      <w:pPr>
        <w:pStyle w:val="FirstParagraph"/>
        <w:rPr/>
      </w:pPr>
      <w:r>
        <w:rPr>
          <w:b/>
          <w:bCs/>
        </w:rPr>
        <w:t>Évolution de la version 10 :</w:t>
      </w:r>
      <w:r>
        <w:rPr/>
        <w:t xml:space="preserve"> refonte complète du volet réseau en architecture 100 % Ubiquiti UniFi — passerelles UXG-Lite et SD-WAN Magic Site-to-Site en remplacement de Fortinet (FortiGate 40F + licences FortiCare). Impact : −21 557 € sur le total projet ; la réserve passe de 6,6 % à 11,4 % du budget.</w:t>
      </w:r>
    </w:p>
    <w:p>
      <w:pPr>
        <w:pStyle w:val="Heading2"/>
        <w:rPr/>
      </w:pPr>
      <w:r>
        <w:rPr>
          <w:b/>
          <w:bCs/>
        </w:rPr>
        <w:t>1.1 Synthèse rapide : ce qui change, ce qui reste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Phase / Sites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Switch retenu</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Qté</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Prix unit.</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HT</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 — 7 sites existants (remplacement SF200-24P EoSL + SG350XG-24 anticipé)</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USW-24 (L2, 24p, VLAN 802.1Q, PoE, UniFi Controller)</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2 530 €</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 — 5 laboratoires (inclus § 10.1)</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USW-24</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1 150 €</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2027-2028 — 15 centres (inclus § 10.2)</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USW-Lite-16-PoE (16p PoE)</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180 €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2 700 €</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 switches Ubiquiti</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31</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6 380 €</w:t>
            </w:r>
            <w:bookmarkStart w:id="0" w:name="philosophie-du-projet"/>
            <w:bookmarkStart w:id="1" w:name="X2546618b0723b7b059481119d7759555602d1fa"/>
            <w:bookmarkEnd w:id="0"/>
            <w:bookmarkEnd w:id="1"/>
          </w:p>
        </w:tc>
      </w:tr>
    </w:tbl>
    <w:p>
      <w:pPr>
        <w:pStyle w:val="Heading1"/>
        <w:rPr/>
      </w:pPr>
      <w:r>
        <w:rPr>
          <w:b/>
          <w:bCs/>
        </w:rPr>
        <w:t>2. Synthèse exécutive</w:t>
      </w:r>
    </w:p>
    <w:p>
      <w:pPr>
        <w:pStyle w:val="Heading2"/>
        <w:rPr/>
      </w:pPr>
      <w:bookmarkStart w:id="2" w:name="vue-densemble-des-choix-structurants"/>
      <w:r>
        <w:rPr>
          <w:b/>
          <w:bCs/>
        </w:rPr>
        <w:t>2.1 Vue d’ensemble des choix structurants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ESET PROTECT Advanced — endpoints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Healthcare + engagement 3 ans : 16 €/poste/an × 250 postes × 5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ESET Server Protection — VMs Windows uniquement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 VMs Windows × 100 €/an × 5 ans (hôtes Linux Proxmox → ClamAV gratuit)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Proxmox Backup Server</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Open-source — gratuit (support PBS supprimé)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OVH Cold Archive HDS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~25 €/mois × 60 mois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bandes LTO-6 neuves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Renouvellement PowerVault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Wazuh SIEM — déploiement VM Proxmox</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2j × 750 € — intégration réseau UniFi + ESET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déploiement ESET + PBS + formation 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6j × 750 € (formation incluse)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29 230 €</w:t>
            </w:r>
          </w:p>
        </w:tc>
      </w:tr>
    </w:tbl>
    <w:p>
      <w:pPr>
        <w:pStyle w:val="BodyText"/>
        <w:rPr/>
      </w:pPr>
      <w:r>
        <w:rPr/>
        <w:t xml:space="preserve">Budget alloué : </w:t>
      </w:r>
      <w:r>
        <w:rPr>
          <w:b/>
          <w:bCs/>
        </w:rPr>
        <w:t>450 000 € HT</w:t>
      </w:r>
      <w:r>
        <w:rPr/>
        <w:t xml:space="preserve"> — Budget consommé : </w:t>
      </w:r>
      <w:r>
        <w:rPr>
          <w:b/>
          <w:bCs/>
        </w:rPr>
        <w:t>398 733 €</w:t>
      </w:r>
      <w:r>
        <w:rPr/>
        <w:t xml:space="preserve"> — Réserve disponible : </w:t>
      </w:r>
      <w:r>
        <w:rPr>
          <w:b/>
          <w:bCs/>
        </w:rPr>
        <w:t>51 267 € (11,4 %)</w:t>
      </w:r>
    </w:p>
    <w:p>
      <w:pPr>
        <w:pStyle w:val="BodyText"/>
        <w:rPr/>
      </w:pPr>
      <w:bookmarkStart w:id="3" w:name="vue-densemble-des-choix-structurants"/>
      <w:r>
        <w:rPr/>
        <w:t>Cette réserve confortable couvre les aléas opérationnels non identifiés. La migration des 2 VMs WS 2016 (WinAnalyse et Winfile) avant janvier 2027 sera couverte dans cette réserve si besoin (~4 000-6 000 € estimés).</w:t>
      </w:r>
      <w:bookmarkEnd w:id="3"/>
    </w:p>
    <w:p>
      <w:pPr>
        <w:pStyle w:val="Heading1"/>
        <w:rPr/>
      </w:pPr>
      <w:r>
        <w:rPr>
          <w:b/>
          <w:bCs/>
        </w:rPr>
        <w:t>3. Analyse de l’existant : décisions de conservation et de renouvellement</w:t>
      </w:r>
    </w:p>
    <w:p>
      <w:pPr>
        <w:pStyle w:val="FirstParagraph"/>
        <w:rPr/>
      </w:pPr>
      <w:r>
        <w:rPr/>
        <w:t>Cette section justifie composant par composant les choix de conservation, de migration ou de remplacement. Le principe directeur est simple : chaque conservation doit apporter une valeur démontrable (technique, financière, ou de conformité).</w:t>
      </w:r>
    </w:p>
    <w:p>
      <w:pPr>
        <w:pStyle w:val="Heading2"/>
        <w:rPr/>
      </w:pPr>
      <w:r>
        <w:rPr>
          <w:b/>
          <w:bCs/>
        </w:rPr>
        <w:t>3.1 Serveurs Dell PowerEdge R730 (2× unités, 2017)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CONSERVÉS — bascule en hot standby HA + migration disques HDD → SSD SAS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les garde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Le matériel reste performant pour faire tourner les VMs secondaires (CRM, fichiers) et servir de bascule HA. • Coût d’opportunité majeur : remplacer les 2 R730 par 2 R760 supplémentaires coûterait ~25 000 € de plus, sans valeur ajoutée vu la HA déjà assurée par les R760 neufs. • Permet une redondance matérielle de niveau “4 hosts” sur l’infra Proxmox (2 R760 production + 2 R730 standby). • Châssis Dell encore couvert par garantie de base prolongée (pièces disponibles via Dell et marché de l’occasion certifié).</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change les disques</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Disques HDD SAS d’origine de 2017 : 9 ans en 2026, statistiquement en fin de vie (MTBF dépassé). • Risque de panne double dans un RAID 10 (un mirror perdu = perte de données). • Migration vers SSD SAS : performances multipliées par 10, fiabilité accrue (pas de pièces mécaniques), durée de vie 7-10 ans neuf. • Coût raisonnable (3 400 € pour 4 SSD 3,84 To enterprise) pour sécuriser le maillon HA.</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Migration SSD : 3 400 € (4× SSD SAS 3,84 To enterprise)</w:t>
            </w:r>
            <w:bookmarkStart w:id="4" w:name="X47a873ff5c9de2a32ecba907d86c4d9910fd714"/>
            <w:bookmarkEnd w:id="4"/>
          </w:p>
        </w:tc>
      </w:tr>
    </w:tbl>
    <w:p>
      <w:pPr>
        <w:pStyle w:val="Heading2"/>
        <w:rPr/>
      </w:pPr>
      <w:r>
        <w:rPr>
          <w:b/>
          <w:bCs/>
        </w:rPr>
        <w:t>3.2 Baie de stockage Dell VNX 5200 (2017)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CONSERVÉE — châssis conservé + remplacement des 12 disques d’origine pour fiabilisation</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garde le châssis</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12 To utilisables encore disponibles (RAID 10), capacité non négligeable pour archives chaudes et sauvegardes secondaires. • Coût de remplacement d’une baie équivalente neuve : 15 000-25 000 €. Pas justifié tant que le châssis fonctionne. • Usage rétrogradé : ne héberge plus les VMs de production primaires (qui passent sur SSD NVMe des R760), mais devient cible Proxmox Backup Server local. • Châssis encore supporté Dell pour pièces (alimentations, ventilateurs, contrôleurs).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change les disques</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Disques HDD SAS d’origine de 9 ans : MTBF dépassé, statistiquement en fin de vie. • Cohérence avec la logique appliquée aux R730 : « on change ce qui est en fin de vie ». • La VNX héberge la copie locale Proxmox Backup Server : sa fiabilité est essentielle au PRA, malgré la redondance OVH HDS + LTO. • Investissement modeste (1 800 € de HDD pour les chunks + 400 € de 2 SSD enterprise pour les métadonnées/index PBS) qui restaure la fiabilité et la performance du datastore PBS.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2 200 € (12× HDD SAS 2 To enterprise pour les chunks PBS + 2× SSD SATA enterprise 480 Go en RAID-1 pour l’OS et les métadonnées/index PBS)</w:t>
            </w:r>
          </w:p>
        </w:tc>
      </w:tr>
    </w:tbl>
    <w:p>
      <w:pPr>
        <w:pStyle w:val="Heading2"/>
        <w:rPr/>
      </w:pPr>
      <w:r>
        <w:rPr>
          <w:b/>
          <w:bCs/>
        </w:rPr>
        <w:t>3.3 Robot Dell PowerVault 114X + bandes LTO-6 (2015)</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 — usage repositionné sur archives long terme et air-gap anti-ransomware</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 garde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Air-gap physique : une bande débranchée et rangée dans un coffre est inattaquable par ransomware. C’est le rempart ultime en cas de compromission complète du SI (y compris credentials OVH). • Archives long terme : les données médicales doivent être conservées 20 ans (dossier patient). Le LTO est conçu pour ça (durée de vie 30 ans en stockage), le disque dur non. • Conformité 3-2-1-1-0 (recommandation ANSSI et HDS) : 3 copies, 2 médias, 1 hors site, 1 hors ligne, 0 erreur. Le LTO assure le “hors ligne”. • Robot encore supporté par Dell, bandes LTO-6 toujours commercialisées jusqu’en 2030+.</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Évolution d’usage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ARRÊT de la sauvegarde quotidienne EMC Networker (remplacée par Proxmox Backup Server). • NOUVEAU rôle : sauvegarde mensuelle complète externalisée (coffre bancaire) + archives long terme HDS. • Re-évaluation prévue en 2029 pour un éventuel upgrade vers LTO-8 ou LTO-9 si volumétrie le nécessite.</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bandes LTO-6 neuves (renouvellement) : 230 €</w:t>
            </w:r>
          </w:p>
        </w:tc>
      </w:tr>
    </w:tbl>
    <w:p>
      <w:pPr>
        <w:pStyle w:val="Heading2"/>
        <w:rPr/>
      </w:pPr>
      <w:r>
        <w:rPr>
          <w:b/>
          <w:bCs/>
        </w:rPr>
        <w:t>3.4 Switchs Cisco et passerelles existants — analyse différenciée</w:t>
      </w:r>
    </w:p>
    <w:p>
      <w:pPr>
        <w:pStyle w:val="FirstParagraph"/>
        <w:rPr/>
      </w:pPr>
      <w:r>
        <w:rPr/>
        <w:t>Les switchs présents ont des âges et des statuts de support différents. Une analyse au cas par cas est nécessaire.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Config VLAN via UniFi Controller (7 sites)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3j × 500 € (centralisé GUI vs CLI Cisco)</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Config SD-WAN Magic Site-to-Site — tous sites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2j × 700 €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1 400 €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11× Ubiquiti USW-24 (sites existants, 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Remplacement SF200-24P + SG350XG-24 (11 × 230 €)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2 530 €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Ubiquiti UXG-Lite (siège + 7 sites, 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Remplacement des passerelles VPN (8 × 130 €)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1 040 €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6 470 €</w:t>
            </w:r>
          </w:p>
        </w:tc>
      </w:tr>
    </w:tbl>
    <w:p>
      <w:pPr>
        <w:pStyle w:val="Heading3"/>
        <w:rPr/>
      </w:pPr>
      <w:r>
        <w:rPr>
          <w:b/>
          <w:bCs/>
        </w:rPr>
        <w:t>Pourquoi remplacer les SG350XG-24 dès 2026 alors qu’ils sont encore supportés ?</w:t>
      </w:r>
    </w:p>
    <w:p>
      <w:pPr>
        <w:pStyle w:val="Normal"/>
        <w:numPr>
          <w:ilvl w:val="0"/>
          <w:numId w:val="17"/>
        </w:numPr>
        <w:rPr/>
      </w:pPr>
      <w:r>
        <w:rPr/>
        <w:t>Ils supportent les VLAN 802.1Q, mais les conserver imposerait d’administrer deux écosystèmes en parallèle (CLI Cisco + console UniFi).</w:t>
      </w:r>
    </w:p>
    <w:p>
      <w:pPr>
        <w:pStyle w:val="Normal"/>
        <w:numPr>
          <w:ilvl w:val="0"/>
          <w:numId w:val="18"/>
        </w:numPr>
        <w:rPr/>
      </w:pPr>
      <w:r>
        <w:rPr/>
        <w:t>Leur support Cisco s’arrête en avril 2028 : les remplacer dès 2026 évite un second chantier réseau à brève échéance.</w:t>
      </w:r>
    </w:p>
    <w:p>
      <w:pPr>
        <w:pStyle w:val="Normal"/>
        <w:numPr>
          <w:ilvl w:val="0"/>
          <w:numId w:val="19"/>
        </w:numPr>
        <w:rPr/>
      </w:pPr>
      <w:r>
        <w:rPr/>
        <w:t>Un parc homogène Ubiquiti UniFi (console unique, VLAN centralisés, supervision native) simplifie l’exploitation et la conformité HDS.</w:t>
      </w:r>
    </w:p>
    <w:p>
      <w:pPr>
        <w:pStyle w:val="Heading3"/>
        <w:rPr/>
      </w:pPr>
      <w:bookmarkStart w:id="5" w:name="Xa2eb2afe82f43e8f36afc6796872231090c9885"/>
      <w:r>
        <w:rPr>
          <w:b/>
          <w:bCs/>
        </w:rPr>
        <w:t>Pourquoi remplacer les SF200-24P en priorité ?</w:t>
      </w:r>
    </w:p>
    <w:p>
      <w:pPr>
        <w:pStyle w:val="Normal"/>
        <w:numPr>
          <w:ilvl w:val="0"/>
          <w:numId w:val="20"/>
        </w:numPr>
        <w:rPr/>
      </w:pPr>
      <w:r>
        <w:rPr/>
        <w:t>EoSL atteint depuis 2023-2024 : plus aucune mise à jour de sécurité, vulnérabilités CVE non corrigées.</w:t>
      </w:r>
    </w:p>
    <w:p>
      <w:pPr>
        <w:pStyle w:val="Normal"/>
        <w:numPr>
          <w:ilvl w:val="0"/>
          <w:numId w:val="21"/>
        </w:numPr>
        <w:rPr/>
      </w:pPr>
      <w:r>
        <w:rPr/>
        <w:t>Non-conformité HDS caractérisée : la certification exige des équipements réseau maintenus à jour.</w:t>
      </w:r>
    </w:p>
    <w:p>
      <w:pPr>
        <w:pStyle w:val="FirstParagraph"/>
        <w:rPr/>
      </w:pPr>
      <w:r>
        <w:rPr>
          <w:b/>
          <w:bCs/>
        </w:rPr>
        <w:t xml:space="preserve">Coût HT total : </w:t>
      </w:r>
      <w:r>
        <w:rPr/>
        <w:t>3 570 € (11× USW-24 + 8× UXG-Lite, voir détail en section 8).</w:t>
      </w:r>
      <w:bookmarkEnd w:id="5"/>
    </w:p>
    <w:p>
      <w:pPr>
        <w:pStyle w:val="Heading2"/>
        <w:rPr/>
      </w:pPr>
      <w:r>
        <w:rPr>
          <w:b/>
          <w:bCs/>
        </w:rPr>
        <w:t>3.5 Postes de travail HP Z440 (2018, 40 unités)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CONSERVÉS — parc Strasbourg DG</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les garde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 ans en 2026, mais workstations professionnelles HP Z series conçues pour 7-10 ans d’usage intensif. • Configuration adéquate pour la bureautique (Office LTSC) et les applications métier actuelles. • Compatible Windows 11 (CPU et TPM 2.0 sur cette génération). • Remplacer 40 postes pro représenterait ~26 000 € — non justifié tant qu’ils fonctionnent.</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Évolution prévue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Remplacement progressif au-delà de 2030 (hors périmètre du présent projet, à intégrer dans le plan de renouvellement matériel annuel).</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 (conservés en l’état)</w:t>
            </w:r>
            <w:bookmarkStart w:id="6" w:name="postes-de-travail-hp-z440-2018-40-unités"/>
            <w:bookmarkEnd w:id="6"/>
          </w:p>
        </w:tc>
      </w:tr>
    </w:tbl>
    <w:p>
      <w:pPr>
        <w:pStyle w:val="Heading2"/>
        <w:rPr/>
      </w:pPr>
      <w:r>
        <w:rPr>
          <w:b/>
          <w:bCs/>
        </w:rPr>
        <w:t>3.6 Imprimantes existantes (Konica Minolta C759, Ricoh MPC4505SP, Ricoh MPC307SPF)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CONSERVÉES — 12 imprimantes en place sur les 7 sites existants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les garde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Matériel multifonction professionnel encore fonctionnel (8 à 10 ans, durée de vie 10-15 ans). • Contrats de maintenance et fourniture de toner déjà en place (paiement à la page), pas de surcoût IT immédiat. • ROI déjà atteint sur l’investissement initial. • Remplacement à la panne (cycle naturel), pas de plan de remplacement systématique.</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 pour les 12 imprimantes existantes (les 5 nouvelles imprimantes Ricoh des labos neufs sont chiffrées en section 9)</w:t>
            </w:r>
          </w:p>
        </w:tc>
      </w:tr>
    </w:tbl>
    <w:p>
      <w:pPr>
        <w:pStyle w:val="Heading2"/>
        <w:rPr/>
      </w:pPr>
      <w:r>
        <w:rPr>
          <w:b/>
          <w:bCs/>
        </w:rPr>
        <w:t>3.7 Onduleurs Eaton 9PX 3000W RT2U (2× unités, 2017)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CONSERVÉS — protection électrique baie serveurs Strasbourg</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les garde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Onduleurs Eaton 9PX professionnels, durée de vie matériel 10-15 ans. • Puissance et autonomie compatibles avec les nouveaux serveurs R760 (consommation similaire aux R730). • Cartes réseau de management intégrées, compatibles avec une supervision SNMP centralisée.</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Évolution à prévoir</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Remplacement des batteries vers 2027 (consommable, environ 600 € par onduleur). À intégrer au budget de maintenance courant, hors projet de migration.</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 (conservés en l’état)</w:t>
            </w:r>
          </w:p>
        </w:tc>
      </w:tr>
    </w:tbl>
    <w:p>
      <w:pPr>
        <w:pStyle w:val="Heading2"/>
        <w:rPr/>
      </w:pPr>
      <w:r>
        <w:rPr>
          <w:b/>
          <w:bCs/>
        </w:rPr>
        <w:t>3.8 VMs Windows Server 2016 (WinAnalyse, Winfile)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CONSERVÉES temporairement — migration WS 2022 planifiée avant janvier 2027</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on les garde temporairement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Windows Server 2016 est encore en support étendu jusqu’au 12 janvier 2027 : utilisables sans risque HDS dans l’immédiat. • Permet d’étaler la charge de migration : les 4 VMs WS 2012 R2 sont prioritaires (déjà obsolètes), les 2 VMs WS 2016 suivent dans un second temps. • WinAnalyse héberge l’application Medoc (cœur métier), une migration prématurée présente un risque opérationnel. • Winfile (partage de fichiers) supprime le besoin d’une solution cloud type OneDrive (économie ~80 K€ sur 5 ans).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Plan de migration</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Migration vers WS 2022 prévue Q4 2026 (3 mois avant la fin de support WS 2016). Couverte par la réserve budgétaire du projet.</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Réservé sur la provision pour aléas (estimé 4 000-6 000 € pour les 2 VMs)</w:t>
            </w:r>
          </w:p>
        </w:tc>
      </w:tr>
    </w:tbl>
    <w:p>
      <w:pPr>
        <w:pStyle w:val="Heading2"/>
        <w:rPr/>
      </w:pPr>
      <w:r>
        <w:rPr>
          <w:b/>
          <w:bCs/>
        </w:rPr>
        <w:t>3.9 Bornes Wi-Fi Cisco WP121 (2015, 9 unités) — point d’attention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REMPLACEMENT INTÉGRÉ AU CHIFFRAGE — alignement parc Wi-Fi 6</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remplacement nécessaire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11 ans en 2026, Wi-Fi 4 (802.11n) obsolète face à Wi-Fi 6 (802.11ax) déployé sur les nouveaux sites. • Plus de patches sécurité depuis ~2019. • Non-conformité HDS : équipements réseau sans support. • Hétérogénéité gênante : Wi-Fi 6 sur les nouveaux sites, Wi-Fi 4 sur les sites existants.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Modèle retenu</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U6+ (Wi-Fi 6, PoE, gestion centralisée UniFi) — même modèle que sur les 20 nouveaux sites pour homogénéité du parc et simplicité d’administration.</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1 805 € (9× Ubiquiti U6+ à 145 € = 1 305 € + 1 jour de prestation installation à 500 €)</w:t>
            </w:r>
          </w:p>
        </w:tc>
      </w:tr>
    </w:tbl>
    <w:p>
      <w:pPr>
        <w:pStyle w:val="Heading2"/>
        <w:rPr/>
      </w:pPr>
      <w:r>
        <w:rPr>
          <w:b/>
          <w:bCs/>
        </w:rPr>
        <w:t>3.10 Téléphones iPhone 6S (2019, 12 unités) — point d’attention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Décision</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REMPLACEMENT INTÉGRÉ AU CHIFFRAGE — Samsung Galaxy A16 5G (15 unités)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remplacement nécessaire</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 ans en 2026, fin de support iOS depuis 2022 (dernier iOS 15). • Plus de patches sécurité Apple. • Risque de non-compatibilité avec l’authentification moderne (MFA Microsoft Authenticator, certificats récents). • Croissance multi-sites : besoin de 15 smartphones (12 actuels + 3 pour responsables labos et IT itinérants).</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Pourquoi Samsung Galaxy A16 5G</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Rapport prix / durée de support imbattable : 200 € pour 6 ans de mises à jour Android et patches sécurité garantis par Samsung (jusqu’à 2030). • Compatibilité MFA totale : Microsoft Authenticator, lecteur d’empreinte, biométrie, certificats récents. • Samsung Knox intégré : compatibilité MDM, sécurité de niveau entreprise, séparation données pro/perso. • Marque pro fiable, SAV en France, accessoires largement disponibles. • Alternative iPhone 13 reconditionné écartée : prix supérieur (~330 €) pour durée de support comparable.</w:t>
            </w:r>
          </w:p>
        </w:tc>
      </w:tr>
      <w:tr>
        <w:trPr/>
        <w:tc>
          <w:tcPr>
            <w:tcW w:w="467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468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3 200 € (15× Samsung Galaxy A16 5G à 200 € = 3 000 € + forfait accessoires et enrôlement MDM 200 €)</w:t>
            </w:r>
            <w:bookmarkStart w:id="7" w:name="X87d3129f48bd0a4cdf4ab5e193f7f128a051218"/>
            <w:bookmarkEnd w:id="7"/>
          </w:p>
        </w:tc>
      </w:tr>
    </w:tbl>
    <w:p>
      <w:pPr>
        <w:pStyle w:val="Heading1"/>
        <w:rPr/>
      </w:pPr>
      <w:r>
        <w:rPr>
          <w:b/>
          <w:bCs/>
        </w:rPr>
        <w:t>4. Messagerie et bureautique</w:t>
      </w:r>
    </w:p>
    <w:p>
      <w:pPr>
        <w:pStyle w:val="Heading2"/>
        <w:rPr/>
      </w:pPr>
      <w:bookmarkStart w:id="8" w:name="constat"/>
      <w:r>
        <w:rPr>
          <w:b/>
          <w:bCs/>
        </w:rPr>
        <w:t>4.1 Constat</w:t>
      </w:r>
    </w:p>
    <w:p>
      <w:pPr>
        <w:pStyle w:val="FirstParagraph"/>
        <w:rPr/>
      </w:pPr>
      <w:bookmarkStart w:id="9" w:name="constat"/>
      <w:r>
        <w:rPr/>
        <w:t>Exchange 2013 est en fin de support depuis avril 2023. Les deux VMs WinExch1 et WinExch2 fonctionnent sur Windows Server 2012 R2, lui-même obsolète. La poursuite de cette plateforme expose GSBLAB à des vulnérabilités non corrigées (Hafnium, ProxyShell, ProxyNotShell), à une non-conformité HDS, et à une charge d’administration disproportionnée.</w:t>
      </w:r>
      <w:bookmarkEnd w:id="9"/>
    </w:p>
    <w:p>
      <w:pPr>
        <w:pStyle w:val="Heading2"/>
        <w:rPr/>
      </w:pPr>
      <w:r>
        <w:rPr>
          <w:b/>
          <w:bCs/>
        </w:rPr>
        <w:t>4.2 Alternatives envisagées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Solution</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Tarif HT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Avantages</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Inconvénients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M365 Business Basic</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6,50 €/user/mois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Mail + Teams + OneDrive + Office Web tout-en-un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Pas d’Office Desktop, services non requis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M365 Business Standard</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13,70 €/user/mois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Basic + Office Desktop</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261 K€ sur 5 ans, hors budget</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M365 Business Premium</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22,70 €/user/mois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Standard + Defender + Intune (HDS-ready)</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432 K€ sur 5 ans, prohibitif</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Exchange On Premise 2019</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33 K€ one-shot + 4 K€/an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Maîtrise totale, données on-prem</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Vulnérabilités fréquentes, contraire au cap cloud du DG</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Office LTSC + Exchange Online Plan 1</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260 €/poste + 3,40 €/user/mois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Office Desktop perpétuel partout, mail cloud HDS, économie maximale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Pas de Teams ni OneDrive (non requis)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OVHcloud Exchange Hosted</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5,20 €/user/mois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HDS-certifié OVH (hébergeur français)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Plus cher qu’Exchange Online Plan 1</w:t>
            </w:r>
            <w:bookmarkStart w:id="10" w:name="alternatives-envisagées"/>
            <w:bookmarkEnd w:id="10"/>
          </w:p>
        </w:tc>
      </w:tr>
    </w:tbl>
    <w:p>
      <w:pPr>
        <w:pStyle w:val="Heading2"/>
        <w:rPr/>
      </w:pPr>
      <w:r>
        <w:rPr>
          <w:b/>
          <w:bCs/>
        </w:rPr>
        <w:t>4.3 Solution retenue : Office LTSC 2024 + Exchange Online Plan 1</w:t>
      </w:r>
    </w:p>
    <w:p>
      <w:pPr>
        <w:pStyle w:val="Heading3"/>
        <w:rPr/>
      </w:pPr>
      <w:bookmarkStart w:id="11" w:name="pourquoi-ce-choix"/>
      <w:r>
        <w:rPr>
          <w:b/>
          <w:bCs/>
        </w:rPr>
        <w:t>Pourquoi ce choix ?</w:t>
      </w:r>
    </w:p>
    <w:p>
      <w:pPr>
        <w:pStyle w:val="Normal"/>
        <w:numPr>
          <w:ilvl w:val="0"/>
          <w:numId w:val="22"/>
        </w:numPr>
        <w:rPr/>
      </w:pPr>
      <w:r>
        <w:rPr/>
        <w:t>Les exigences documentées (CR de réunion, Contexte_A) mentionnent la mobilité et le besoin d’une migration partielle dans le cloud, mais ne demandent ni Teams ni OneDrive ni SharePoint.</w:t>
      </w:r>
    </w:p>
    <w:p>
      <w:pPr>
        <w:pStyle w:val="Normal"/>
        <w:numPr>
          <w:ilvl w:val="0"/>
          <w:numId w:val="23"/>
        </w:numPr>
        <w:rPr/>
      </w:pPr>
      <w:r>
        <w:rPr/>
        <w:t>Le partage de fichiers est déjà assuré par le serveur Winfile (10.2.1.10) — voir section 3.8.</w:t>
      </w:r>
    </w:p>
    <w:p>
      <w:pPr>
        <w:pStyle w:val="Normal"/>
        <w:numPr>
          <w:ilvl w:val="0"/>
          <w:numId w:val="24"/>
        </w:numPr>
        <w:rPr/>
      </w:pPr>
      <w:r>
        <w:rPr/>
        <w:t>Office LTSC Standard 2024 est une licence perpétuelle par poste : achat unique, pas d’abonnement.</w:t>
      </w:r>
    </w:p>
    <w:p>
      <w:pPr>
        <w:pStyle w:val="Normal"/>
        <w:numPr>
          <w:ilvl w:val="0"/>
          <w:numId w:val="25"/>
        </w:numPr>
        <w:rPr/>
      </w:pPr>
      <w:r>
        <w:rPr/>
        <w:t>Exchange Online Plan 1 élimine les 2 VMs Exchange on-prem, supprime la dette de sécurité Exchange 2013, et apporte la mobilité native (webmail OWA, ActiveSync).</w:t>
      </w:r>
    </w:p>
    <w:p>
      <w:pPr>
        <w:pStyle w:val="Normal"/>
        <w:numPr>
          <w:ilvl w:val="0"/>
          <w:numId w:val="26"/>
        </w:numPr>
        <w:rPr/>
      </w:pPr>
      <w:bookmarkStart w:id="12" w:name="pourquoi-ce-choix"/>
      <w:r>
        <w:rPr/>
        <w:t>Microsoft est attesté HDS pour Exchange Online (datacenters Europe). DPA spécifique à signer.</w:t>
      </w:r>
      <w:bookmarkEnd w:id="12"/>
    </w:p>
    <w:p>
      <w:pPr>
        <w:pStyle w:val="Heading3"/>
        <w:rPr/>
      </w:pPr>
      <w:bookmarkStart w:id="13" w:name="X4eaccd35fb386433ac348c615e73bca596197c1"/>
      <w:r>
        <w:rPr>
          <w:b/>
          <w:bCs/>
        </w:rPr>
        <w:t>Pourquoi pas M365 Business Standard ou Premium ?</w:t>
      </w:r>
    </w:p>
    <w:p>
      <w:pPr>
        <w:pStyle w:val="FirstParagraph"/>
        <w:rPr/>
      </w:pPr>
      <w:r>
        <w:rPr/>
        <w:t>M365 Standard coûte 261 K€ sur 5 ans contre 126 K€ pour la solution retenue, soit un surcoût de 135 K€. Cette différence permet de financer l’intégralité de la sécurité (ESET) ou les serveurs S2. Or Teams/OneDrive/SharePoint ne sont pas explicitement requis.</w:t>
      </w:r>
    </w:p>
    <w:p>
      <w:pPr>
        <w:pStyle w:val="BodyText"/>
        <w:rPr/>
      </w:pPr>
      <w:bookmarkStart w:id="14" w:name="X4eaccd35fb386433ac348c615e73bca596197c1"/>
      <w:r>
        <w:rPr/>
        <w:t>M365 Business Premium serait l’idéal HDS « clé en main » (Defender + Intune intégrés), mais à 432 K€ sur 5 ans il consommerait 96 % du budget. Intenable.</w:t>
      </w:r>
      <w:bookmarkEnd w:id="14"/>
    </w:p>
    <w:p>
      <w:pPr>
        <w:pStyle w:val="Heading3"/>
        <w:rPr/>
      </w:pPr>
      <w:bookmarkStart w:id="15" w:name="pourquoi-pas-office-ltsc-2021-moins-cher"/>
      <w:r>
        <w:rPr>
          <w:b/>
          <w:bCs/>
        </w:rPr>
        <w:t>Pourquoi pas Office LTSC 2021 (moins cher) ?</w:t>
      </w:r>
    </w:p>
    <w:p>
      <w:pPr>
        <w:pStyle w:val="FirstParagraph"/>
        <w:rPr/>
      </w:pPr>
      <w:bookmarkStart w:id="16" w:name="pourquoi-pas-office-ltsc-2021-moins-cher"/>
      <w:r>
        <w:rPr/>
        <w:t>Office LTSC 2021 (~250 €/poste) coûterait 7 K€ de moins, mais sort du support général en octobre 2026 — soit 5 mois après la signature du projet. Pour des données de santé soumises à HDS, déployer un logiciel sans correctifs serait une faute majeure. Office LTSC 2024 est en support jusqu’en octobre 2029.</w:t>
      </w:r>
      <w:bookmarkEnd w:id="16"/>
    </w:p>
    <w:p>
      <w:pPr>
        <w:pStyle w:val="Heading2"/>
        <w:rPr/>
      </w:pPr>
      <w:r>
        <w:rPr>
          <w:b/>
          <w:bCs/>
        </w:rPr>
        <w:t>4.4 Chiffrage détaillé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Qté</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HT</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Office LTSC Standard 2024 (perpétuel)</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Tarif CSP volume : 260 € HT/poste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237 postes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61 620 €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Exchange Online Plan 1</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Annual Commit : 3,40 €/user/mois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318 users × 60 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64 872 €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126 492 €</w:t>
            </w:r>
            <w:bookmarkStart w:id="17" w:name="chiffrage-détaillé"/>
            <w:bookmarkEnd w:id="17"/>
          </w:p>
        </w:tc>
      </w:tr>
    </w:tbl>
    <w:p>
      <w:pPr>
        <w:pStyle w:val="Heading1"/>
        <w:rPr/>
      </w:pPr>
      <w:r>
        <w:rPr>
          <w:b/>
          <w:bCs/>
        </w:rPr>
        <w:t>5. Hyperviseur</w:t>
      </w:r>
    </w:p>
    <w:p>
      <w:pPr>
        <w:pStyle w:val="Heading2"/>
        <w:rPr/>
      </w:pPr>
      <w:bookmarkStart w:id="18" w:name="constat-1"/>
      <w:r>
        <w:rPr>
          <w:b/>
          <w:bCs/>
        </w:rPr>
        <w:t>5.1 Constat</w:t>
      </w:r>
    </w:p>
    <w:p>
      <w:pPr>
        <w:pStyle w:val="FirstParagraph"/>
        <w:rPr/>
      </w:pPr>
      <w:bookmarkStart w:id="19" w:name="constat-1"/>
      <w:r>
        <w:rPr/>
        <w:t>VMware vSphere 6 Enterprise Plus sur 2× R730 — licences perpétuelles en fin de vie, plus de patches sécurité. Le rachat par Broadcom a rendu le modèle commercial inadapté aux PME (bundles abonnement à partir de ~12 000 €/an, soit ~75 000 € sur 5 ans).</w:t>
      </w:r>
      <w:bookmarkEnd w:id="19"/>
    </w:p>
    <w:p>
      <w:pPr>
        <w:pStyle w:val="Heading2"/>
        <w:rPr/>
      </w:pPr>
      <w:r>
        <w:rPr>
          <w:b/>
          <w:bCs/>
        </w:rPr>
        <w:t>5.2 Alternatives envisagées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Critère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VMware vSphere 8</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Proxmox VE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Microsoft Hyper-V</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5 ans (estimatif)</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~75 000 €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~10 400 €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~25 000 €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Modèle tarifaire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Bundles abonnement Broadcom</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Open-source + support optionnel</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Inclus Windows Datacenter</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HA / Live migration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Oui</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Oui</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Oui</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Vendor lock-in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Fort (Broadcom)</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Faible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Moyen (Microsoft)</w:t>
            </w:r>
            <w:bookmarkStart w:id="20" w:name="alternatives-envisagées-1"/>
            <w:bookmarkEnd w:id="20"/>
          </w:p>
        </w:tc>
      </w:tr>
    </w:tbl>
    <w:p>
      <w:pPr>
        <w:pStyle w:val="Heading2"/>
        <w:rPr/>
      </w:pPr>
      <w:r>
        <w:rPr>
          <w:b/>
          <w:bCs/>
        </w:rPr>
        <w:t>5.3 Solution retenue : Proxmox VE</w:t>
      </w:r>
    </w:p>
    <w:p>
      <w:pPr>
        <w:pStyle w:val="Heading3"/>
        <w:rPr/>
      </w:pPr>
      <w:bookmarkStart w:id="21" w:name="pourquoi-ce-choix-1"/>
      <w:r>
        <w:rPr>
          <w:b/>
          <w:bCs/>
        </w:rPr>
        <w:t>Pourquoi ce choix ?</w:t>
      </w:r>
    </w:p>
    <w:p>
      <w:pPr>
        <w:pStyle w:val="Normal"/>
        <w:numPr>
          <w:ilvl w:val="0"/>
          <w:numId w:val="27"/>
        </w:numPr>
        <w:rPr/>
      </w:pPr>
      <w:r>
        <w:rPr/>
        <w:t>Plateforme open-source mature (KVM + LXC), origine européenne (Autriche).</w:t>
      </w:r>
    </w:p>
    <w:p>
      <w:pPr>
        <w:pStyle w:val="Normal"/>
        <w:numPr>
          <w:ilvl w:val="0"/>
          <w:numId w:val="28"/>
        </w:numPr>
        <w:rPr/>
      </w:pPr>
      <w:r>
        <w:rPr/>
        <w:t>Économie de ~65 000 € sur 5 ans vs VMware vSphere 8.</w:t>
      </w:r>
    </w:p>
    <w:p>
      <w:pPr>
        <w:pStyle w:val="Normal"/>
        <w:numPr>
          <w:ilvl w:val="0"/>
          <w:numId w:val="29"/>
        </w:numPr>
        <w:rPr/>
      </w:pPr>
      <w:r>
        <w:rPr/>
        <w:t>Pas de vendor lock-in — possibilité de pivoter sans dépendance contractuelle.</w:t>
      </w:r>
    </w:p>
    <w:p>
      <w:pPr>
        <w:pStyle w:val="Normal"/>
        <w:numPr>
          <w:ilvl w:val="0"/>
          <w:numId w:val="30"/>
        </w:numPr>
        <w:rPr/>
      </w:pPr>
      <w:r>
        <w:rPr/>
        <w:t>Intégration native avec Proxmox Backup Server (gratuit, voir section 9).</w:t>
      </w:r>
    </w:p>
    <w:p>
      <w:pPr>
        <w:pStyle w:val="Normal"/>
        <w:numPr>
          <w:ilvl w:val="0"/>
          <w:numId w:val="31"/>
        </w:numPr>
        <w:rPr/>
      </w:pPr>
      <w:bookmarkStart w:id="22" w:name="pourquoi-ce-choix-1"/>
      <w:r>
        <w:rPr/>
        <w:t>HA et live migration entre les 4 hosts (2× R760 production + 2× R730 standby) — voir section 6.</w:t>
      </w:r>
      <w:bookmarkEnd w:id="22"/>
    </w:p>
    <w:p>
      <w:pPr>
        <w:pStyle w:val="Heading3"/>
        <w:rPr/>
      </w:pPr>
      <w:bookmarkStart w:id="23" w:name="pourquoi-pas-hyper-v"/>
      <w:r>
        <w:rPr>
          <w:b/>
          <w:bCs/>
        </w:rPr>
        <w:t>Pourquoi pas Hyper-V ?</w:t>
      </w:r>
    </w:p>
    <w:p>
      <w:pPr>
        <w:pStyle w:val="FirstParagraph"/>
        <w:rPr/>
      </w:pPr>
      <w:bookmarkStart w:id="24" w:name="pourquoi-pas-hyper-v"/>
      <w:r>
        <w:rPr/>
        <w:t>Techniquement viable, mais nécessite Windows Server Datacenter (~6 000 €/licence) pour les fonctionnalités avancées. Microsoft oriente ses efforts vers Azure plutôt qu’Hyper-V on-premise. Proxmox coûte 2,5 fois moins cher et offre les mêmes fonctionnalités.</w:t>
      </w:r>
      <w:bookmarkEnd w:id="24"/>
    </w:p>
    <w:p>
      <w:pPr>
        <w:pStyle w:val="Heading2"/>
        <w:rPr/>
      </w:pPr>
      <w:r>
        <w:rPr>
          <w:b/>
          <w:bCs/>
        </w:rPr>
        <w:t>5.4 Chiffrage détaillé</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26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26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Licence Proxmox VE</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Open-source (GPL v2)</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r>
      <w:tr>
        <w:trPr/>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Support Proxmox Standard</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sockets × 440 €/an × 5 ans</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4 400 €</w:t>
            </w:r>
          </w:p>
        </w:tc>
      </w:tr>
      <w:tr>
        <w:trPr/>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migration ESXi → Proxmox</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jours × 750 €</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6 000 €</w:t>
            </w:r>
          </w:p>
        </w:tc>
      </w:tr>
      <w:tr>
        <w:trPr/>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10 400 €</w:t>
            </w:r>
            <w:bookmarkStart w:id="25" w:name="chiffrage-détaillé-1"/>
            <w:bookmarkEnd w:id="25"/>
          </w:p>
        </w:tc>
      </w:tr>
    </w:tbl>
    <w:p>
      <w:pPr>
        <w:pStyle w:val="Heading1"/>
        <w:rPr/>
      </w:pPr>
      <w:r>
        <w:rPr>
          <w:b/>
          <w:bCs/>
        </w:rPr>
        <w:t>6. Serveurs et stockage</w:t>
      </w:r>
    </w:p>
    <w:p>
      <w:pPr>
        <w:pStyle w:val="Heading2"/>
        <w:rPr/>
      </w:pPr>
      <w:bookmarkStart w:id="26" w:name="constat-2"/>
      <w:r>
        <w:rPr>
          <w:b/>
          <w:bCs/>
        </w:rPr>
        <w:t>6.1 Constat</w:t>
      </w:r>
    </w:p>
    <w:p>
      <w:pPr>
        <w:pStyle w:val="FirstParagraph"/>
        <w:rPr/>
      </w:pPr>
      <w:r>
        <w:rPr/>
        <w:t>Les 2× Dell R730 (2017) embarquent seulement 16 Go de RAM chacun, avec un Xeon E5-2609 v4 (8 cœurs faibles, 1.7 GHz). La baie VNX 5200 dispose de 12 To utilisables en RAID 10. Configuration suffisante pour les 8 VMs actuelles mais insuffisante face à :</w:t>
      </w:r>
    </w:p>
    <w:p>
      <w:pPr>
        <w:pStyle w:val="Normal"/>
        <w:numPr>
          <w:ilvl w:val="0"/>
          <w:numId w:val="32"/>
        </w:numPr>
        <w:rPr/>
      </w:pPr>
      <w:r>
        <w:rPr/>
        <w:t>L’arrivée du SGL/SIL (BDD importante, RAM gourmande).</w:t>
      </w:r>
    </w:p>
    <w:p>
      <w:pPr>
        <w:pStyle w:val="Normal"/>
        <w:numPr>
          <w:ilvl w:val="0"/>
          <w:numId w:val="33"/>
        </w:numPr>
        <w:rPr/>
      </w:pPr>
      <w:r>
        <w:rPr/>
        <w:t>L’arrivée d’un ERP (RAM significative, stockage transactionnel).</w:t>
      </w:r>
    </w:p>
    <w:p>
      <w:pPr>
        <w:pStyle w:val="Normal"/>
        <w:numPr>
          <w:ilvl w:val="0"/>
          <w:numId w:val="34"/>
        </w:numPr>
        <w:rPr/>
      </w:pPr>
      <w:r>
        <w:rPr/>
        <w:t>La montée à 380 utilisateurs en 2028.</w:t>
      </w:r>
    </w:p>
    <w:p>
      <w:pPr>
        <w:pStyle w:val="Normal"/>
        <w:numPr>
          <w:ilvl w:val="0"/>
          <w:numId w:val="35"/>
        </w:numPr>
        <w:rPr/>
      </w:pPr>
      <w:bookmarkStart w:id="27" w:name="constat-2"/>
      <w:r>
        <w:rPr/>
        <w:t>L’exigence HDS d’isolation et redondance forte.</w:t>
      </w:r>
      <w:bookmarkEnd w:id="27"/>
    </w:p>
    <w:p>
      <w:pPr>
        <w:pStyle w:val="Heading2"/>
        <w:rPr/>
      </w:pPr>
      <w:r>
        <w:rPr>
          <w:b/>
          <w:bCs/>
        </w:rPr>
        <w:t>6.2 Alternatives envisagées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Scénario</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Pérennité</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S1 — Upgrade R730 + VNX</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RAM 16→128 Go, SSD VNX additionnels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~17 400 €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Limite (CPU ancien)</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S2 — 2× R760 + R730 standby SSD</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R760 Xeon Silver 4416+, 256 Go, SSD NVMe + SSD SAS sur R730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34 600 €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5-7 ans, R730 en hot standby HA</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S3 — S2 + backup HDS Acronis Cloud</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S2 + Acronis Cloud Backup</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~58 000 €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Sécurité maximale</w:t>
            </w:r>
            <w:bookmarkStart w:id="28" w:name="alternatives-envisagées-2"/>
            <w:bookmarkEnd w:id="28"/>
          </w:p>
        </w:tc>
      </w:tr>
    </w:tbl>
    <w:p>
      <w:pPr>
        <w:pStyle w:val="Heading2"/>
        <w:rPr/>
      </w:pPr>
      <w:r>
        <w:rPr>
          <w:b/>
          <w:bCs/>
        </w:rPr>
        <w:t>6.3 Solution retenue : Scénario S2</w:t>
      </w:r>
    </w:p>
    <w:p>
      <w:pPr>
        <w:pStyle w:val="Heading3"/>
        <w:rPr/>
      </w:pPr>
      <w:bookmarkStart w:id="29" w:name="pourquoi-ce-choix-2"/>
      <w:r>
        <w:rPr>
          <w:b/>
          <w:bCs/>
        </w:rPr>
        <w:t>Pourquoi ce choix ?</w:t>
      </w:r>
    </w:p>
    <w:p>
      <w:pPr>
        <w:pStyle w:val="Normal"/>
        <w:numPr>
          <w:ilvl w:val="0"/>
          <w:numId w:val="36"/>
        </w:numPr>
        <w:rPr/>
      </w:pPr>
      <w:r>
        <w:rPr/>
        <w:t>Les R760 offrent une réserve d’évolutivité pour 5-7 ans (SGL/SIL et ERP).</w:t>
      </w:r>
    </w:p>
    <w:p>
      <w:pPr>
        <w:pStyle w:val="Normal"/>
        <w:numPr>
          <w:ilvl w:val="0"/>
          <w:numId w:val="37"/>
        </w:numPr>
        <w:rPr/>
      </w:pPr>
      <w:r>
        <w:rPr/>
        <w:t>Les 2× R730 (avec nouveaux SSD) basculent en hot standby HA : continuité de service en cas de panne d’un R760, redondance niveau infrastructure.</w:t>
      </w:r>
    </w:p>
    <w:p>
      <w:pPr>
        <w:pStyle w:val="Normal"/>
        <w:numPr>
          <w:ilvl w:val="0"/>
          <w:numId w:val="38"/>
        </w:numPr>
        <w:rPr/>
      </w:pPr>
      <w:r>
        <w:rPr/>
        <w:t>Option ProSupport écartée au profit de la garantie basique étendue 5 ans (économie ~2 000 €). La HA Proxmox absorbe les pannes le temps du retour atelier.</w:t>
      </w:r>
    </w:p>
    <w:p>
      <w:pPr>
        <w:pStyle w:val="Normal"/>
        <w:numPr>
          <w:ilvl w:val="0"/>
          <w:numId w:val="39"/>
        </w:numPr>
        <w:rPr/>
      </w:pPr>
      <w:bookmarkStart w:id="30" w:name="pourquoi-ce-choix-2"/>
      <w:r>
        <w:rPr/>
        <w:t>Migration des disques R730 vers SSD SAS (Option C) pour fiabiliser le standby — voir section 3.1.</w:t>
      </w:r>
      <w:bookmarkEnd w:id="30"/>
    </w:p>
    <w:p>
      <w:pPr>
        <w:pStyle w:val="Heading3"/>
        <w:rPr/>
      </w:pPr>
      <w:bookmarkStart w:id="31" w:name="pourquoi-pas-s1"/>
      <w:r>
        <w:rPr>
          <w:b/>
          <w:bCs/>
        </w:rPr>
        <w:t>Pourquoi pas S1 ?</w:t>
      </w:r>
    </w:p>
    <w:p>
      <w:pPr>
        <w:pStyle w:val="FirstParagraph"/>
        <w:rPr/>
      </w:pPr>
      <w:bookmarkStart w:id="32" w:name="pourquoi-pas-s1"/>
      <w:r>
        <w:rPr/>
        <w:t>L’upgrade RAM des R730 est tentant côté budget, mais le Xeon E5-2609 v4 reste un processeur entrée de gamme de 2016. Faire tourner 8 VMs + SGL/SIL gourmand + ERP saturerait rapidement. Risque de réinvestissement matériel en 2029-2030, pile au moment du rachat du concurrent où le budget doit être disponible.</w:t>
      </w:r>
      <w:bookmarkEnd w:id="32"/>
    </w:p>
    <w:p>
      <w:pPr>
        <w:pStyle w:val="Heading3"/>
        <w:rPr/>
      </w:pPr>
      <w:bookmarkStart w:id="33" w:name="pourquoi-pas-s3-backup-hds-cloud-acronis"/>
      <w:r>
        <w:rPr>
          <w:b/>
          <w:bCs/>
        </w:rPr>
        <w:t>Pourquoi pas S3 (backup HDS cloud Acronis) ?</w:t>
      </w:r>
    </w:p>
    <w:p>
      <w:pPr>
        <w:pStyle w:val="FirstParagraph"/>
        <w:rPr/>
      </w:pPr>
      <w:bookmarkStart w:id="34" w:name="pourquoi-pas-s3-backup-hds-cloud-acronis"/>
      <w:r>
        <w:rPr/>
        <w:t>La copie de sauvegarde externalisée HDS est couverte plus efficacement par ESET + Proxmox Backup Server + OVH Cold Archive HDS (voir section 9), pour 30 K€ de moins.</w:t>
      </w:r>
      <w:bookmarkEnd w:id="34"/>
    </w:p>
    <w:p>
      <w:pPr>
        <w:pStyle w:val="Heading2"/>
        <w:rPr/>
      </w:pPr>
      <w:r>
        <w:rPr>
          <w:b/>
          <w:bCs/>
        </w:rPr>
        <w:t>6.4 Chiffrage détaillé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Dell R760 configurés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Xeon Silver 4416+, 256 Go RAM ECC, 8× 3,84 To SSD NVMe, 2× 10 GbE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24 200 €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Garantie Dell 5 ans basique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 500 € (extension sans ProSupport)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Migration SSD R730 (Option C)</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 SSD SAS 3,84 To enterprise (2 par R730)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3 400 €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installation + migration VMs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jours × 750 €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34 600 €</w:t>
            </w:r>
            <w:bookmarkStart w:id="35" w:name="chiffrage-détaillé-2"/>
            <w:bookmarkEnd w:id="35"/>
          </w:p>
        </w:tc>
      </w:tr>
    </w:tbl>
    <w:p>
      <w:pPr>
        <w:pStyle w:val="Heading1"/>
        <w:rPr/>
      </w:pPr>
      <w:r>
        <w:rPr>
          <w:b/>
          <w:bCs/>
        </w:rPr>
        <w:t>7. Mise à niveau Windows Server</w:t>
      </w:r>
    </w:p>
    <w:p>
      <w:pPr>
        <w:pStyle w:val="Heading2"/>
        <w:rPr/>
      </w:pPr>
      <w:bookmarkStart w:id="36" w:name="périmètre"/>
      <w:r>
        <w:rPr>
          <w:b/>
          <w:bCs/>
        </w:rPr>
        <w:t>7.1 Périmètre</w:t>
      </w:r>
    </w:p>
    <w:p>
      <w:pPr>
        <w:pStyle w:val="FirstParagraph"/>
        <w:rPr/>
      </w:pPr>
      <w:r>
        <w:rPr/>
        <w:t>4 VMs WS 2012 R2 à migrer vers WS 2022 : WinAD1, WinAD2, WinBackup, WinCRM (les 2 VMs Exchange disparaissent car migrées vers Exchange Online, voir section 4).</w:t>
      </w:r>
    </w:p>
    <w:p>
      <w:pPr>
        <w:pStyle w:val="BodyText"/>
        <w:rPr/>
      </w:pPr>
      <w:bookmarkStart w:id="37" w:name="périmètre"/>
      <w:r>
        <w:rPr/>
        <w:t>WinAnalyse et Winfile (WS 2016) restent en l’état dans un premier temps — voir justification en section 3.8.</w:t>
      </w:r>
      <w:bookmarkEnd w:id="37"/>
    </w:p>
    <w:p>
      <w:pPr>
        <w:pStyle w:val="Heading2"/>
        <w:rPr/>
      </w:pPr>
      <w:r>
        <w:rPr>
          <w:b/>
          <w:bCs/>
        </w:rPr>
        <w:t>7.2 Comprendre les CAL Windows Server</w:t>
      </w:r>
    </w:p>
    <w:p>
      <w:pPr>
        <w:pStyle w:val="FirstParagraph"/>
        <w:rPr/>
      </w:pPr>
      <w:r>
        <w:rPr>
          <w:b/>
          <w:bCs/>
        </w:rPr>
        <w:t>Une CAL (</w:t>
      </w:r>
      <w:r>
        <w:rPr>
          <w:b/>
          <w:bCs/>
          <w:i/>
          <w:iCs/>
        </w:rPr>
        <w:t>Client Access License</w:t>
      </w:r>
      <w:r>
        <w:rPr/>
        <w:t>) est une licence d’accès client exigée par Microsoft. Sans CAL, l’utilisation du serveur est en violation des conditions de licence Microsoft.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Logique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Avantageux quand…</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CAL Utilisateur</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licence par utilisateur unique, depuis n’importe quel device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Un utilisateur a plusieurs appareils (itinérants)</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CAL Device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licence par poste, peu importe le nombre d’utilisateurs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Plusieurs utilisateurs se relaient sur le même poste (équipes en rotation)</w:t>
            </w:r>
            <w:bookmarkStart w:id="38" w:name="comprendre-les-cal-windows-server"/>
            <w:bookmarkEnd w:id="38"/>
          </w:p>
        </w:tc>
      </w:tr>
    </w:tbl>
    <w:p>
      <w:pPr>
        <w:pStyle w:val="Heading2"/>
        <w:rPr/>
      </w:pPr>
      <w:r>
        <w:rPr>
          <w:b/>
          <w:bCs/>
        </w:rPr>
        <w:t>7.3 Optimisation : mix CAL User / Device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Site</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Devices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Utilisateurs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Type retenu</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Nb CAL</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Strasbourg DG</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56</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User (itinérants)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64</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6 centres existants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36</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66</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Device</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36</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5 nouveaux laboratoires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60</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85</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Device</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60</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15 nouveaux centres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90</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165</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Device</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90</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242</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380</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Mix optimisé</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250</w:t>
            </w:r>
          </w:p>
        </w:tc>
      </w:tr>
    </w:tbl>
    <w:p>
      <w:pPr>
        <w:pStyle w:val="BodyText"/>
        <w:rPr/>
      </w:pPr>
      <w:r>
        <w:rPr>
          <w:b/>
          <w:bCs/>
        </w:rPr>
        <w:t xml:space="preserve">Économie : </w:t>
      </w:r>
      <w:r>
        <w:rPr/>
        <w:t xml:space="preserve">130 CAL évitées (380 User → 250 mix), soit </w:t>
      </w:r>
      <w:r>
        <w:rPr>
          <w:b/>
          <w:bCs/>
        </w:rPr>
        <w:t>4 290 €</w:t>
      </w:r>
      <w:r>
        <w:rPr/>
        <w:t>.</w:t>
      </w:r>
    </w:p>
    <w:p>
      <w:pPr>
        <w:pStyle w:val="Heading2"/>
        <w:rPr/>
      </w:pPr>
      <w:r>
        <w:rPr>
          <w:b/>
          <w:bCs/>
        </w:rPr>
        <w:t>7.4 Chiffrage détaillé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Licences WS 2022 Standard 16 cores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 1 050 € (CSP partenaire)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2 100 €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CAL mix User/Device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250 CAL × 33 € (volume CSP)</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8 250 €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migration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jours × 750 €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16 350 €</w:t>
            </w:r>
            <w:bookmarkStart w:id="39" w:name="chiffrage-détaillé-3"/>
            <w:bookmarkEnd w:id="39"/>
          </w:p>
        </w:tc>
      </w:tr>
    </w:tbl>
    <w:p>
      <w:pPr>
        <w:pStyle w:val="Heading1"/>
        <w:rPr/>
      </w:pPr>
      <w:r>
        <w:rPr>
          <w:b/>
          <w:bCs/>
        </w:rPr>
        <w:t>8. Sécurisation réseau</w:t>
      </w:r>
    </w:p>
    <w:p>
      <w:pPr>
        <w:pStyle w:val="Heading2"/>
        <w:rPr/>
      </w:pPr>
      <w:bookmarkStart w:id="40" w:name="constat-3"/>
      <w:r>
        <w:rPr>
          <w:b/>
          <w:bCs/>
        </w:rPr>
        <w:t>8.1 Constat</w:t>
      </w:r>
    </w:p>
    <w:p>
      <w:pPr>
        <w:pStyle w:val="FirstParagraph"/>
        <w:rPr/>
      </w:pPr>
      <w:r>
        <w:rPr/>
        <w:t>Aucun VLAN déployé malgré les prévisions de l’ancien DSI. Absence de segmentation = risque sécurité majeur + non-conformité HDS.</w:t>
      </w:r>
    </w:p>
    <w:p>
      <w:pPr>
        <w:pStyle w:val="BodyText"/>
        <w:rPr/>
      </w:pPr>
      <w:bookmarkStart w:id="41" w:name="constat-3"/>
      <w:r>
        <w:rPr/>
        <w:t>Concernant les switchs : analyse différenciée selon âge et statut Cisco — voir section 3.4.</w:t>
      </w:r>
      <w:bookmarkEnd w:id="41"/>
    </w:p>
    <w:p>
      <w:pPr>
        <w:pStyle w:val="Heading2"/>
        <w:rPr/>
      </w:pPr>
      <w:bookmarkStart w:id="42" w:name="X472f3796510a4e36f9d1f196a1efb9f41c59cc8"/>
      <w:r>
        <w:rPr>
          <w:b/>
          <w:bCs/>
        </w:rPr>
        <w:t>8.2 Solution retenue : VLAN + SD-WAN Ubiquiti (Magic Site-to-Site) + renouvellement progressif</w:t>
      </w:r>
    </w:p>
    <w:p>
      <w:pPr>
        <w:pStyle w:val="Heading3"/>
        <w:rPr/>
      </w:pPr>
      <w:bookmarkStart w:id="43" w:name="X8ac6cb6b3f2fb46d68d971480b7c68847ff93ca"/>
      <w:r>
        <w:rPr>
          <w:b/>
          <w:bCs/>
        </w:rPr>
        <w:t>Pourquoi le SD-WAN Ubiquiti (Magic Site-to-Site) ?</w:t>
      </w:r>
    </w:p>
    <w:p>
      <w:pPr>
        <w:pStyle w:val="Normal"/>
        <w:numPr>
          <w:ilvl w:val="0"/>
          <w:numId w:val="40"/>
        </w:numPr>
        <w:rPr/>
      </w:pPr>
      <w:r>
        <w:rPr/>
        <w:t>Tunnels IPsec AES-256 + IKEv2 sous-jacents : le niveau de chiffrement reconnu pour les données de santé est intégralement conservé.</w:t>
      </w:r>
    </w:p>
    <w:p>
      <w:pPr>
        <w:pStyle w:val="Normal"/>
        <w:numPr>
          <w:ilvl w:val="0"/>
          <w:numId w:val="41"/>
        </w:numPr>
        <w:rPr/>
      </w:pPr>
      <w:r>
        <w:rPr/>
        <w:t>Orchestration automatique : les tunnels site-à-site se déploient en un clic depuis la console UniFi, sans configuration manuelle par site.</w:t>
      </w:r>
    </w:p>
    <w:p>
      <w:pPr>
        <w:pStyle w:val="Normal"/>
        <w:numPr>
          <w:ilvl w:val="0"/>
          <w:numId w:val="42"/>
        </w:numPr>
        <w:rPr/>
      </w:pPr>
      <w:r>
        <w:rPr/>
        <w:t>Aucun coût récurrent : SD-WAN, firmware et console inclus — 0 € de licence (les ZeroTrust SaaS, facturés par peer/mois, restent écartés).</w:t>
      </w:r>
    </w:p>
    <w:p>
      <w:pPr>
        <w:pStyle w:val="Normal"/>
        <w:numPr>
          <w:ilvl w:val="0"/>
          <w:numId w:val="43"/>
        </w:numPr>
        <w:rPr/>
      </w:pPr>
      <w:bookmarkStart w:id="44" w:name="X472f3796510a4e36f9d1f196a1efb9f41c59cc8"/>
      <w:bookmarkStart w:id="45" w:name="X8ac6cb6b3f2fb46d68d971480b7c68847ff93ca"/>
      <w:r>
        <w:rPr/>
        <w:t>Simplicité opérationnelle : intégré aux passerelles UXG-Lite, même console que les switches et les bornes Wi-Fi.</w:t>
      </w:r>
      <w:bookmarkEnd w:id="44"/>
      <w:bookmarkEnd w:id="45"/>
    </w:p>
    <w:p>
      <w:pPr>
        <w:pStyle w:val="Heading2"/>
        <w:rPr/>
      </w:pPr>
      <w:bookmarkStart w:id="46" w:name="X93123a0260873b2dd6130b9a1ab716ede5e945c"/>
      <w:r>
        <w:rPr>
          <w:b/>
          <w:bCs/>
        </w:rPr>
        <w:t>8.3 Remplacement des switchs et passerelles existants (2026)</w:t>
      </w:r>
    </w:p>
    <w:p>
      <w:pPr>
        <w:pStyle w:val="FirstParagraph"/>
        <w:rPr/>
      </w:pPr>
      <w:bookmarkStart w:id="47" w:name="X93123a0260873b2dd6130b9a1ab716ede5e945c"/>
      <w:r>
        <w:rPr/>
        <w:t>Les 11 switchs des 7 sites existants (5× SF200-24P en EoSL + 6× SG350XG-24) sont remplacés par des Ubiquiti USW-24 en 2026, simultanément au déploiement VLAN et à la mise en place de la console UniFi. Les passerelles du siège et des 7 sites existants sont remplacées par 8× Ubiquiti UXG-Lite (1 040 €), alignées sur les nouveaux sites. La justification détaillée figure en section 3.4 ; le chiffrage en section 8.5.</w:t>
      </w:r>
      <w:bookmarkEnd w:id="47"/>
    </w:p>
    <w:p>
      <w:pPr>
        <w:pStyle w:val="Heading2"/>
        <w:rPr/>
      </w:pPr>
      <w:r>
        <w:rPr>
          <w:b/>
          <w:bCs/>
        </w:rPr>
        <w:t>8.4 Segmentation VLAN proposée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Usage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Politique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 10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Administration / Serveurs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Isolé, accès IT uniquement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 20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Postes administratifs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Accès Internet + apps métier</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 30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Analyse médicale (données HDS)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Isolé strict, traçabilité maximale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 40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Wi-Fi / Invités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Internet uniquement, isolé du LAN</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VLAN 99</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Management équipements réseau</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Accès IT uniquement</w:t>
            </w:r>
            <w:bookmarkStart w:id="48" w:name="segmentation-vlan-proposée"/>
            <w:bookmarkEnd w:id="48"/>
          </w:p>
        </w:tc>
      </w:tr>
    </w:tbl>
    <w:p>
      <w:pPr>
        <w:pStyle w:val="Heading2"/>
        <w:rPr/>
      </w:pPr>
      <w:r>
        <w:rPr>
          <w:b/>
          <w:bCs/>
        </w:rPr>
        <w:t>8.5 Chiffrage détaillé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Configuration VLAN (7 sites existants)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 jours × 500 €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Configuration SD-WAN Magic Site-to-Site (tous sites)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jours × 700 €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1 400 €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11× Ubiquiti USW-24</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Remplacement SF200-24P + SG350XG-24 (2026)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2 530 €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Ubiquiti UXG-Lite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Passerelles siège + 7 sites existants (8 × 130 €)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1 040 €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6 470 €</w:t>
            </w:r>
          </w:p>
        </w:tc>
      </w:tr>
    </w:tbl>
    <w:p>
      <w:pPr>
        <w:pStyle w:val="Heading1"/>
        <w:rPr/>
      </w:pPr>
      <w:r>
        <w:rPr/>
        <w:t>8.bis Interconnexion : SD-WAN Ubiquiti retenu — 0 € de licence</w:t>
      </w:r>
    </w:p>
    <w:p>
      <w:pPr>
        <w:pStyle w:val="FirstParagraph"/>
        <w:rPr/>
      </w:pPr>
      <w:r>
        <w:rPr/>
        <w:t xml:space="preserve">Architecture retenue : </w:t>
      </w:r>
      <w:r>
        <w:rPr>
          <w:b/>
          <w:bCs/>
        </w:rPr>
        <w:t>SD-WAN Magic Site-to-Site</w:t>
      </w:r>
      <w:r>
        <w:rPr/>
        <w:t xml:space="preserve"> sur passerelles </w:t>
      </w:r>
      <w:r>
        <w:rPr>
          <w:b/>
          <w:bCs/>
        </w:rPr>
        <w:t>Ubiquiti UXG-Lite</w:t>
      </w:r>
      <w:r>
        <w:rPr/>
        <w:t xml:space="preserve"> — tunnels IPsec AES-256 + IKEv2 auto-orchestrés depuis la console UniFi. </w:t>
      </w:r>
      <w:r>
        <w:rPr>
          <w:b/>
          <w:bCs/>
        </w:rPr>
        <w:t>Aucune licence</w:t>
      </w:r>
      <w:r>
        <w:rPr/>
        <w:t xml:space="preserve"> : l’écosystème UniFi n’impose aucun abonnement (firmware, SD-WAN et console inclus). L’IPS réseau est assuré par Wazuh SIEM + ESET PROTECT Advanced (déjà budgétés).</w:t>
      </w:r>
    </w:p>
    <w:p>
      <w:pPr>
        <w:pStyle w:val="Heading2"/>
        <w:rPr/>
      </w:pPr>
      <w:r>
        <w:rPr/>
        <w:t>8.bis.1 Comparatif des scénarios d’interconnexion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Critère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Scénario A — Fortinet (écarté)</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Scénario B — Ubiquiti ← Retenu</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Technologie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VPN IPsec manuel ou SD-WAN FortiGate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SD-WAN Magic Site-to-Site (IPsec AES-256 sous-jacent)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Matériel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FortiGate 40F : 450 €/site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UXG-Lite : 130 €/site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Licences 5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FortiCare Essential 9 000 € (IPsec) à ~21 500 € (SD-WAN)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 — incluses</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Orchestration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FortiManager (limité, puis ~1 800 €/an)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Console UniFi — déploiement en 1 clic</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Conformité HDS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AES-256 + IKEv2</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AES-256 + IKEv2 (identique)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Bilan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Écarté — coût matériel et licences excessif</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RETENU — automatique, 0 € récurrent</w:t>
            </w:r>
            <w:bookmarkStart w:id="49" w:name="Xee4dd390e519854f76adc8f2178e326ad04e33a"/>
            <w:bookmarkEnd w:id="49"/>
          </w:p>
        </w:tc>
      </w:tr>
    </w:tbl>
    <w:p>
      <w:pPr>
        <w:pStyle w:val="Heading2"/>
        <w:rPr/>
      </w:pPr>
      <w:r>
        <w:rPr/>
        <w:t>8.bis.2 Licences réseau : aucune (écosystème Ubiquiti)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Licence</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Description</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Tarif /site/an</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Tous sites × 5 ans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Retenu</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Incluses (sans abonnement)</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Firmware, SD-WAN natif, console UniFi</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RETENU</w:t>
            </w:r>
          </w:p>
        </w:tc>
      </w:tr>
    </w:tbl>
    <w:p>
      <w:pPr>
        <w:pStyle w:val="BodyText"/>
        <w:rPr/>
      </w:pPr>
      <w:r>
        <w:rPr>
          <w:i/>
          <w:iCs/>
        </w:rPr>
        <w:t>L’IPS réseau est assuré par Wazuh SIEM (0 €) + ESET PROTECT Advanced (déjà budgétés). Cette combinaison est HDS-défendable : chiffrement IPsec AES-256 du SD-WAN, détection d’intrusion SIEM centralisée, protection endpoint. Économie licences vs scénario Fortinet : −9 000 € minimum.</w:t>
      </w:r>
    </w:p>
    <w:p>
      <w:pPr>
        <w:pStyle w:val="Heading1"/>
        <w:rPr/>
      </w:pPr>
      <w:r>
        <w:rPr>
          <w:b/>
          <w:bCs/>
        </w:rPr>
        <w:t>9. Endpoint Protection et sauvegarde</w:t>
      </w:r>
    </w:p>
    <w:p>
      <w:pPr>
        <w:pStyle w:val="Heading2"/>
        <w:rPr/>
      </w:pPr>
      <w:bookmarkStart w:id="50" w:name="constat-et-besoins"/>
      <w:r>
        <w:rPr>
          <w:b/>
          <w:bCs/>
        </w:rPr>
        <w:t>9.1 Constat et besoins</w:t>
      </w:r>
    </w:p>
    <w:p>
      <w:pPr>
        <w:pStyle w:val="FirstParagraph"/>
        <w:rPr/>
      </w:pPr>
      <w:bookmarkStart w:id="51" w:name="constat-et-besoins"/>
      <w:r>
        <w:rPr/>
        <w:t>Trois fonctions critiques pour HDS : antivirus/EDR sur tous les endpoints, sauvegarde des VMs Proxmox, copie externalisée chez un hébergeur HDS-certifié français.</w:t>
      </w:r>
      <w:bookmarkEnd w:id="51"/>
    </w:p>
    <w:p>
      <w:pPr>
        <w:pStyle w:val="Heading2"/>
        <w:rPr/>
      </w:pPr>
      <w:r>
        <w:rPr>
          <w:b/>
          <w:bCs/>
        </w:rPr>
        <w:t>9.2 Alternatives envisagées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Solution</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5 ans</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EDR</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Particularités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Acronis Cyber Protect Standard</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64 800 €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Léger inclus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Tout-en-un, facture cumulée des fonctions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Sophos Intercept X + PBS + OVH</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~48 850 €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XDR avancé</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EDR très bien noté</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ESET PROTECT Advanced + PBS + OVH</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29 230 €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EDR léger</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Excellent rapport prix/qualité</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Bitdefender GravityZone + PBS + OVH</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~46 200 €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EDR</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Moteur souvent classé n°1 AV-Test</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Microsoft Defender for Business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~62 500 €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EDR</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Intégré écosystème Microsoft</w:t>
            </w:r>
            <w:bookmarkStart w:id="52" w:name="alternatives-envisagées-3"/>
            <w:bookmarkEnd w:id="52"/>
          </w:p>
        </w:tc>
      </w:tr>
    </w:tbl>
    <w:p>
      <w:pPr>
        <w:pStyle w:val="Heading2"/>
        <w:rPr/>
      </w:pPr>
      <w:r>
        <w:rPr>
          <w:b/>
          <w:bCs/>
        </w:rPr>
        <w:t>9.3 Solution retenue : ESET + Proxmox Backup Server + OVH + LTO</w:t>
      </w:r>
    </w:p>
    <w:p>
      <w:pPr>
        <w:pStyle w:val="Heading3"/>
        <w:rPr/>
      </w:pPr>
      <w:bookmarkStart w:id="53" w:name="pourquoi-cette-combinaison"/>
      <w:r>
        <w:rPr>
          <w:b/>
          <w:bCs/>
        </w:rPr>
        <w:t>Pourquoi cette combinaison ?</w:t>
      </w:r>
    </w:p>
    <w:p>
      <w:pPr>
        <w:pStyle w:val="Normal"/>
        <w:numPr>
          <w:ilvl w:val="0"/>
          <w:numId w:val="44"/>
        </w:numPr>
        <w:rPr/>
      </w:pPr>
      <w:r>
        <w:rPr/>
        <w:t>ESET PROTECT Advanced : EDR léger, anti-ransomware éprouvé, impact CPU minimal.</w:t>
      </w:r>
    </w:p>
    <w:p>
      <w:pPr>
        <w:pStyle w:val="Normal"/>
        <w:numPr>
          <w:ilvl w:val="0"/>
          <w:numId w:val="45"/>
        </w:numPr>
        <w:rPr/>
      </w:pPr>
      <w:r>
        <w:rPr/>
        <w:t>Tarif Healthcare ESET avec engagement 3 ans : 16 €/poste/an (tarif Healthcare, engagement 3 ans).</w:t>
      </w:r>
    </w:p>
    <w:p>
      <w:pPr>
        <w:pStyle w:val="Normal"/>
        <w:numPr>
          <w:ilvl w:val="0"/>
          <w:numId w:val="46"/>
        </w:numPr>
        <w:rPr/>
      </w:pPr>
      <w:r>
        <w:rPr/>
        <w:t>Proxmox Backup Server gratuit, intégration native, équivalent fonctionnel d’Acronis Backup. Datastore PBS hébergé sur la baie VNX fiabilisée (HDD pour les chunks + 2 SSD RAID-1 pour l’OS et les métadonnées/index, voir section 3.2) : Proxmox déconseille un datastore 100 % HDD sous peine de GC et de vérifications très lentes.</w:t>
      </w:r>
    </w:p>
    <w:p>
      <w:pPr>
        <w:pStyle w:val="Normal"/>
        <w:numPr>
          <w:ilvl w:val="0"/>
          <w:numId w:val="47"/>
        </w:numPr>
        <w:rPr/>
      </w:pPr>
      <w:r>
        <w:rPr/>
        <w:t>OVHcloud Cold Archive HDS : copie externalisée chez hébergeur HDS-certifié français, ~25 €/mois pour 2 To.</w:t>
      </w:r>
    </w:p>
    <w:p>
      <w:pPr>
        <w:pStyle w:val="Normal"/>
        <w:numPr>
          <w:ilvl w:val="0"/>
          <w:numId w:val="48"/>
        </w:numPr>
        <w:rPr/>
      </w:pPr>
      <w:bookmarkStart w:id="54" w:name="pourquoi-cette-combinaison"/>
      <w:r>
        <w:rPr/>
        <w:t>Bandes LTO-6 (PowerVault conservé, voir section 3.3) : air-gap anti-ransomware, archives long terme.</w:t>
      </w:r>
      <w:bookmarkEnd w:id="54"/>
    </w:p>
    <w:p>
      <w:pPr>
        <w:pStyle w:val="Heading3"/>
        <w:rPr/>
      </w:pPr>
      <w:bookmarkStart w:id="55" w:name="pourquoi-pas-acronis"/>
      <w:r>
        <w:rPr>
          <w:b/>
          <w:bCs/>
        </w:rPr>
        <w:t>Pourquoi pas Acronis ?</w:t>
      </w:r>
    </w:p>
    <w:p>
      <w:pPr>
        <w:pStyle w:val="FirstParagraph"/>
        <w:rPr/>
      </w:pPr>
      <w:bookmarkStart w:id="56" w:name="pourquoi-pas-acronis"/>
      <w:r>
        <w:rPr/>
        <w:t>Acronis facture l’ensemble des fonctionnalités même celles couvertes ailleurs. En séparant les briques (ESET + PBS gratuit + OVH peu cher + LTO conservé), GSBLAB économise 35 570 € sur 5 ans sans perte fonctionnelle.</w:t>
      </w:r>
      <w:bookmarkEnd w:id="56"/>
    </w:p>
    <w:p>
      <w:pPr>
        <w:pStyle w:val="Heading3"/>
        <w:rPr/>
      </w:pPr>
      <w:bookmarkStart w:id="57" w:name="pourquoi-pas-sophos-ou-bitdefender"/>
      <w:r>
        <w:rPr>
          <w:b/>
          <w:bCs/>
        </w:rPr>
        <w:t>Pourquoi pas Sophos ou Bitdefender ?</w:t>
      </w:r>
    </w:p>
    <w:p>
      <w:pPr>
        <w:pStyle w:val="FirstParagraph"/>
        <w:rPr/>
      </w:pPr>
      <w:bookmarkStart w:id="58" w:name="pourquoi-pas-sophos-ou-bitdefender"/>
      <w:r>
        <w:rPr/>
        <w:t>Excellentes alternatives, légèrement plus performantes en EDR avancé. Mais 13 à 15 K€ plus cher sans bénéfice décisif pour une PME santé.</w:t>
      </w:r>
      <w:bookmarkEnd w:id="58"/>
    </w:p>
    <w:p>
      <w:pPr>
        <w:pStyle w:val="Heading2"/>
        <w:rPr/>
      </w:pPr>
      <w:r>
        <w:rPr>
          <w:b/>
          <w:bCs/>
        </w:rPr>
        <w:t>9.4 Chiffrage détaillé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ESET PROTECT Advanced — endpoints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Healthcare + engagement 3 ans : 16 €/poste/an × 250 postes moy × 5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ESET Server Protection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100 €/serveur/an × 4 VMs Windows × 5 ans (hôtes Linux Proxmox → ClamAV gratuit)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Proxmox Backup Server</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Open-source, gratuit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Wazuh SIEM — déploiement VM Proxmox</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jours × 750 € (intégration réseau UniFi + ESET)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OVHcloud Cold Archive HDS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~25 €/mois × 60 mois (jusqu’à 2 To)</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bandes LTO-6 neuves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Renouvellement consommables PowerVault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déploiement ESET + PBS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 jours × 750 € + 1 jour formation IT interne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29 230 €</w:t>
            </w:r>
            <w:bookmarkStart w:id="59" w:name="endpoint-protection-et-sauvegarde"/>
            <w:bookmarkStart w:id="60" w:name="chiffrage-détaillé-5"/>
            <w:bookmarkEnd w:id="59"/>
            <w:bookmarkEnd w:id="60"/>
          </w:p>
        </w:tc>
      </w:tr>
    </w:tbl>
    <w:p>
      <w:pPr>
        <w:pStyle w:val="Heading1"/>
        <w:rPr/>
      </w:pPr>
      <w:r>
        <w:rPr/>
        <w:t>9.bis SIEM : Wazuh recommandé (intégré au budget)</w:t>
      </w:r>
    </w:p>
    <w:p>
      <w:pPr>
        <w:pStyle w:val="FirstParagraph"/>
        <w:rPr/>
      </w:pPr>
      <w:r>
        <w:rPr/>
        <w:t>Wazuh (0 € de licence, VM Proxmox) complète ESET en assurant la corrélation centralisée des logs réseau UniFi (syslog) + serveurs + endpoints. Intégré au budget : 1 500 € de prestation.</w:t>
      </w:r>
    </w:p>
    <w:p>
      <w:pPr>
        <w:pStyle w:val="Heading2"/>
        <w:rPr/>
      </w:pPr>
      <w:r>
        <w:rPr/>
        <w:t>9.bis.1 Comparatif SIEM/XDR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Critère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Microsoft Defender for Business</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Wazuh open-source ← Retenu</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Coût 5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68 400 € HT (3 €/user × 380 × 60 mois)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1 500 € (prestation déploiement 2j)</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SIEM centralisé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Via Sentinel (+5-10 €/Go ingestion)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Natif — OpenSearch/Kibana</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Intégration réseau</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Sentinel connector (payant)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Syslog natif UniFi → Wazuh (gratuit)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Intégration ESET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Partiel (API)</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Windows Events + syslog ESET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Localisation données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Cloud Microsoft — DPA requis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On-prem Proxmox — HDS natif</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Alertes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Portail M365 + email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Email / Slack — règles MITRE ATT&amp;CK</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Recommandation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Non retenu (68 400 € hors budget)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RETENU — 0 €, on-prem, UniFi+ESET intégrés</w:t>
            </w:r>
            <w:bookmarkStart w:id="61" w:name="bis.1-comparatif-siemxdr"/>
            <w:bookmarkEnd w:id="61"/>
          </w:p>
        </w:tc>
      </w:tr>
    </w:tbl>
    <w:p>
      <w:pPr>
        <w:pStyle w:val="Heading2"/>
        <w:rPr/>
      </w:pPr>
      <w:r>
        <w:rPr/>
        <w:t>9.bis.2 Déploiement Wazuh</w:t>
      </w:r>
    </w:p>
    <w:p>
      <w:pPr>
        <w:pStyle w:val="FirstParagraph"/>
        <w:rPr/>
      </w:pPr>
      <w:r>
        <w:rPr/>
        <w:t>VM Proxmox : 2 vCPU / 4 Go RAM / 50 Go SSD (R760, ressources déjà budgétées). Agents via GPO sur tous les postes Windows + serveurs Linux. Prestation : 2j × 750 € = 1 500 € (intégré au budget section 9.4).</w:t>
      </w:r>
    </w:p>
    <w:p>
      <w:pPr>
        <w:pStyle w:val="Heading1"/>
        <w:rPr/>
      </w:pPr>
      <w:bookmarkStart w:id="62" w:name="équipement-des-nouveaux-sites"/>
      <w:r>
        <w:rPr>
          <w:b/>
          <w:bCs/>
        </w:rPr>
        <w:t>10. Équipement des nouveaux sites</w:t>
      </w:r>
    </w:p>
    <w:p>
      <w:pPr>
        <w:pStyle w:val="Heading2"/>
        <w:rPr/>
      </w:pPr>
      <w:r>
        <w:rPr>
          <w:b/>
          <w:bCs/>
        </w:rPr>
        <w:t>10.1 Phase 2026 — 5 laboratoires</w:t>
      </w:r>
    </w:p>
    <w:p>
      <w:pPr>
        <w:pStyle w:val="FirstParagraph"/>
        <w:rPr/>
      </w:pPr>
      <w:r>
        <w:rPr/>
        <w:t>Toulouse, Marseille, Nantes, Lyon, Lille. Chaque laboratoire fait office de centre de prélèvement et accueille 17 personnes.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Équipement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Modèle type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Prix unit.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 5 labos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Routeur / Firewall VPN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UXG-Lite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130 €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650 €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Switch manageable 24 ports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USW-24</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1 150 €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Borne Wi-Fi 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145 €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725 €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PC fixes (×10 par labo)</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HP ProDesk 400 G9</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30 000 €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Laptops (×2 par labo)</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HP 250 G10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560 €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5 600 €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Imprimante MFP</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Ricoh MPC307SPF (contrat maintenance inclus)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1 600 €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Câblage + installation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locale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1 350 €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6 750 €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5 laboratoires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52 875 €</w:t>
            </w:r>
            <w:bookmarkStart w:id="63" w:name="phase-2026-5-laboratoires"/>
            <w:bookmarkEnd w:id="63"/>
          </w:p>
        </w:tc>
      </w:tr>
    </w:tbl>
    <w:p>
      <w:pPr>
        <w:pStyle w:val="Heading2"/>
        <w:rPr/>
      </w:pPr>
      <w:r>
        <w:rPr>
          <w:b/>
          <w:bCs/>
        </w:rPr>
        <w:t>10.2 Phase 2027-2028 — 15 centres de prélèvement</w:t>
      </w:r>
    </w:p>
    <w:p>
      <w:pPr>
        <w:pStyle w:val="FirstParagraph"/>
        <w:rPr/>
      </w:pPr>
      <w:r>
        <w:rPr/>
        <w:t>Composition standard de l’annexe 2 : 11 personnes par centre, 5 PC fixes + 1 laptop.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Équipement par centre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Modèle / commentaire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Prix unit.</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 15 centres</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Routeur VPN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UXG-Lite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130 €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1 950 €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Switch 16 ports PoE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USW-Lite-16-PoE (VLAN, UniFi)</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180 €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2 700 €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Borne Wi-Fi 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Ubiquiti U6+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145 €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2 175 €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PC fixes (×5 par centre)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HP ProDesk 400 G9</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45 000 €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Laptop (×1 par centre)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HP 250 G10 reconditionné certifié HP (garantie 1 an constructeur)</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350 €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5 250 €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Câblage + installation</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Prestation locale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900 €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13 500 €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 15 centres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70 575 €</w:t>
            </w:r>
          </w:p>
        </w:tc>
      </w:tr>
    </w:tbl>
    <w:p>
      <w:pPr>
        <w:pStyle w:val="Heading3"/>
        <w:rPr/>
      </w:pPr>
      <w:r>
        <w:rPr>
          <w:b/>
          <w:bCs/>
        </w:rPr>
        <w:t>Pourquoi la structure standard (5 PC fixes + 1 laptop) ?</w:t>
      </w:r>
    </w:p>
    <w:p>
      <w:pPr>
        <w:pStyle w:val="Normal"/>
        <w:numPr>
          <w:ilvl w:val="0"/>
          <w:numId w:val="49"/>
        </w:numPr>
        <w:rPr/>
      </w:pPr>
      <w:r>
        <w:rPr/>
        <w:t>Ergonomie : les secrétaires médicales travaillent en poste fixe 8h/jour, écran 14” insuffisant.</w:t>
      </w:r>
    </w:p>
    <w:p>
      <w:pPr>
        <w:pStyle w:val="Normal"/>
        <w:numPr>
          <w:ilvl w:val="0"/>
          <w:numId w:val="50"/>
        </w:numPr>
        <w:rPr/>
      </w:pPr>
      <w:r>
        <w:rPr/>
        <w:t>Coût équivalent en réalité : avec dock + écran externe, le tout-laptop devient plus cher que la config mixte.</w:t>
      </w:r>
    </w:p>
    <w:p>
      <w:pPr>
        <w:pStyle w:val="Normal"/>
        <w:numPr>
          <w:ilvl w:val="0"/>
          <w:numId w:val="51"/>
        </w:numPr>
        <w:rPr/>
      </w:pPr>
      <w:r>
        <w:rPr/>
        <w:t>Durabilité : PC fixe pro = 5-6 ans, laptop entrée de gamme = 3-4 ans.</w:t>
      </w:r>
    </w:p>
    <w:p>
      <w:pPr>
        <w:pStyle w:val="Normal"/>
        <w:numPr>
          <w:ilvl w:val="0"/>
          <w:numId w:val="52"/>
        </w:numPr>
        <w:rPr/>
      </w:pPr>
      <w:bookmarkStart w:id="64" w:name="équipement-des-nouveaux-sites"/>
      <w:r>
        <w:rPr/>
        <w:t>HDS : les PC fixes en site sécurisé ont moins de contraintes (BitLocker, MFA, anti-vol) que les laptops itinérants.</w:t>
      </w:r>
      <w:bookmarkEnd w:id="64"/>
    </w:p>
    <w:p>
      <w:pPr>
        <w:pStyle w:val="Heading1"/>
        <w:rPr/>
      </w:pPr>
      <w:bookmarkStart w:id="65" w:name="X670d366011b777bd1ad5dfb680cd654110f79ad"/>
      <w:r>
        <w:rPr/>
        <w:t>10.bis Architecture réseau retenue : 100 % Ubiquiti UniFi</w:t>
      </w:r>
    </w:p>
    <w:p>
      <w:pPr>
        <w:pStyle w:val="FirstParagraph"/>
        <w:rPr/>
      </w:pPr>
      <w:r>
        <w:rPr/>
        <w:t xml:space="preserve">Décision finale : architecture </w:t>
      </w:r>
      <w:r>
        <w:rPr>
          <w:b/>
          <w:bCs/>
        </w:rPr>
        <w:t>100 % Ubiquiti UniFi</w:t>
      </w:r>
      <w:r>
        <w:rPr/>
        <w:t xml:space="preserve"> — passerelles </w:t>
      </w:r>
      <w:r>
        <w:rPr>
          <w:b/>
          <w:bCs/>
        </w:rPr>
        <w:t>UXG-Lite</w:t>
      </w:r>
      <w:r>
        <w:rPr/>
        <w:t xml:space="preserve"> (firewall stateful, SD-WAN IPsec) pour la sécurité périmétrique + switches USW et bornes U6+ pour le réseau d’accès, console UniFi Controller en VM Proxmox. Fortinet et Cisco écartés. Économie vs scénario Fortinet + UniFi : −17 960 € sur 5 ans.</w:t>
      </w:r>
    </w:p>
    <w:p>
      <w:pPr>
        <w:pStyle w:val="Heading2"/>
        <w:rPr/>
      </w:pPr>
      <w:r>
        <w:rPr/>
        <w:t>10.bis.1 Contrôleur Ubiquiti : VM Proxmox retenu</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Critère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VM Proxmox — UniFi Network App ← Retenu</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Cloud Key Gen2 Plus</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Coût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 — VM R760 Proxmox déjà chiffré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189 € HT (matériel dédié)</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Scalabilité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Illimitée — VM redimensionnable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~200 devices max (OK pour 60)</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Résilience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Proxmox HA — bascule R760 → R730 auto</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Single point of failure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Sauvegarde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Snapshot PBS complet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Manuel ou UniFi cloud</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Décision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RETENU</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Non retenu</w:t>
            </w:r>
            <w:bookmarkStart w:id="66" w:name="X9d3e9f6f5bb7511a4ba5bc7722abc0daa15dd48"/>
            <w:bookmarkEnd w:id="66"/>
          </w:p>
        </w:tc>
      </w:tr>
    </w:tbl>
    <w:p>
      <w:pPr>
        <w:pStyle w:val="Heading2"/>
        <w:rPr/>
      </w:pPr>
      <w:r>
        <w:rPr/>
        <w:t>10.bis.2 Comparatif architecture réseau (depuis zéro)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Option</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Matériel (toutes zones)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Licences 5 ans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5 ans</w:t>
            </w:r>
          </w:p>
        </w:tc>
        <w:tc>
          <w:tcPr>
            <w:tcW w:w="1872"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Verdict</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RETENU — Full Ubiquiti (UXG-Lite + USW + U6+, SD-WAN)</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14 225 €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14 225 €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HDS via IPsec + VLAN 30 + ESET/Wazuh ✓ console unique</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Fortinet FortiGate 40F + Ubiquiti UniFi</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23 185 €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9 000 € (FortiCare Ess.)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~32 185 €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Écarté — +17 960 € vs retenu</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Full Fortinet (FGT + FortiSwitch + FortiAP)</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~34 750 €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~33 225 €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~68 000 €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Sécurité max mais +54 000 € vs retenu</w:t>
            </w:r>
          </w:p>
        </w:tc>
      </w:tr>
      <w:tr>
        <w:trPr/>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Cisco Meraki</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Matériel Meraki</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~84 000 € abonnements</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~84 000 €</w:t>
            </w:r>
          </w:p>
        </w:tc>
        <w:tc>
          <w:tcPr>
            <w:tcW w:w="1872"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Hors budget</w:t>
            </w:r>
          </w:p>
        </w:tc>
      </w:tr>
    </w:tbl>
    <w:p>
      <w:pPr>
        <w:pStyle w:val="Heading2"/>
        <w:rPr/>
      </w:pPr>
      <w:r>
        <w:rPr/>
        <w:t>10.bis.3 Supervision : console UniFi (native, 0 €)</w:t>
      </w:r>
    </w:p>
    <w:p>
      <w:pPr>
        <w:pStyle w:val="FirstParagraph"/>
        <w:rPr/>
      </w:pPr>
      <w:r>
        <w:rPr/>
        <w:t>La supervision du réseau (passerelles UXG-Lite, switches USW, bornes U6+) est assurée nativement par la console UniFi Network App : trafic, VLAN, PoE, clients, topologie et état des tunnels SD-WAN.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Équipement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Métriques</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Outil</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Passerelles UXG-Lite, switches USW, bornes U6+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Trafic, VLAN, PoE, clients, topologie, SD-WAN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Console UniFi — natif, 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Serveurs Dell R760/R730 (iDRAC), onduleurs Eaton 9PX</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Température, RAID, charge batterie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Hors périmètre — outil dédié ultérieur (Grafana/Zabbix)</w:t>
            </w:r>
          </w:p>
        </w:tc>
      </w:tr>
    </w:tbl>
    <w:p>
      <w:pPr>
        <w:pStyle w:val="BodyText"/>
        <w:rPr/>
      </w:pPr>
      <w:bookmarkStart w:id="67" w:name="X670d366011b777bd1ad5dfb680cd654110f79ad"/>
      <w:r>
        <w:rPr/>
        <w:t>Coût de supervision réseau : 0 € — incluse dans la mise en place du contrôleur UniFi.</w:t>
      </w:r>
      <w:bookmarkEnd w:id="67"/>
    </w:p>
    <w:p>
      <w:pPr>
        <w:pStyle w:val="Heading1"/>
        <w:rPr/>
      </w:pPr>
      <w:r>
        <w:rPr>
          <w:b/>
          <w:bCs/>
        </w:rPr>
        <w:t>11. Pilotage et accompagnement</w:t>
      </w:r>
    </w:p>
    <w:p>
      <w:pPr>
        <w:pStyle w:val="Heading2"/>
        <w:rPr/>
      </w:pPr>
      <w:bookmarkStart w:id="68" w:name="périmètre-1"/>
      <w:r>
        <w:rPr>
          <w:b/>
          <w:bCs/>
        </w:rPr>
        <w:t>11.1 Périmètre</w:t>
      </w:r>
    </w:p>
    <w:p>
      <w:pPr>
        <w:pStyle w:val="Normal"/>
        <w:numPr>
          <w:ilvl w:val="0"/>
          <w:numId w:val="53"/>
        </w:numPr>
        <w:rPr/>
      </w:pPr>
      <w:r>
        <w:rPr/>
        <w:t>Chef de projet : coordination, planning, COPIL, gestion des risques.</w:t>
      </w:r>
    </w:p>
    <w:p>
      <w:pPr>
        <w:pStyle w:val="Normal"/>
        <w:numPr>
          <w:ilvl w:val="0"/>
          <w:numId w:val="54"/>
        </w:numPr>
        <w:rPr/>
      </w:pPr>
      <w:r>
        <w:rPr/>
        <w:t>Documentation : architecture, procédures, PRA, PSSI.</w:t>
      </w:r>
    </w:p>
    <w:p>
      <w:pPr>
        <w:pStyle w:val="Normal"/>
        <w:numPr>
          <w:ilvl w:val="0"/>
          <w:numId w:val="55"/>
        </w:numPr>
        <w:rPr/>
      </w:pPr>
      <w:r>
        <w:rPr/>
        <w:t>Transfert de compétences vers l’équipe IT interne (2 personnes).</w:t>
      </w:r>
    </w:p>
    <w:p>
      <w:pPr>
        <w:pStyle w:val="Normal"/>
        <w:numPr>
          <w:ilvl w:val="0"/>
          <w:numId w:val="56"/>
        </w:numPr>
        <w:rPr/>
      </w:pPr>
      <w:bookmarkStart w:id="69" w:name="périmètre-1"/>
      <w:r>
        <w:rPr/>
        <w:t>Suivi récurrent : COPIL annuel + audit configuration.</w:t>
      </w:r>
      <w:bookmarkEnd w:id="69"/>
    </w:p>
    <w:p>
      <w:pPr>
        <w:pStyle w:val="Heading2"/>
        <w:rPr/>
      </w:pPr>
      <w:r>
        <w:rPr>
          <w:b/>
          <w:bCs/>
        </w:rPr>
        <w:t>11.2 Chiffrage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Détail</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Coût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Chef de projet (forfait allégé)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Coordination 2026 + appui ponctuel 2027-2030 (IT interne pilote les COPIL)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8 000 €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Documentation + transfert compétences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DAT, DEX, PRA, PSSI, runbooks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COPIL biennal + audit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COPIL (2028 + 2030) + audit configuration / 2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15 000 €</w:t>
            </w:r>
            <w:bookmarkStart w:id="70" w:name="pilotage-et-accompagnement"/>
            <w:bookmarkStart w:id="71" w:name="chiffrage"/>
            <w:bookmarkEnd w:id="70"/>
            <w:bookmarkEnd w:id="71"/>
          </w:p>
        </w:tc>
      </w:tr>
    </w:tbl>
    <w:p>
      <w:pPr>
        <w:pStyle w:val="Heading1"/>
        <w:rPr/>
      </w:pPr>
      <w:r>
        <w:rPr>
          <w:b/>
          <w:bCs/>
        </w:rPr>
        <w:t>12. Synthèse budgétaire</w:t>
      </w:r>
    </w:p>
    <w:p>
      <w:pPr>
        <w:pStyle w:val="Heading2"/>
        <w:rPr/>
      </w:pPr>
      <w:r>
        <w:rPr>
          <w:b/>
          <w:bCs/>
        </w:rPr>
        <w:t>12.1 Récapitulatif par poste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Poste de dépense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Phase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Montant HT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Office LTSC Standard 2024 + Exchange Online Plan 1</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126 492 €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Migration hyperviseur Proxmox VE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10 400 €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Serveurs S2 (R760 + R730 SSD + garantie 5 ans)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34 600 €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Windows Server 2022 + 250 CAL mix</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16 350 €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Réseau (VLAN + SD-WAN + 11× USW-24 + 8× UXG-Lite)</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6 470 €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ESET + PBS + OVH HDS + LTO + Wazuh</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29 230 €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Équipement 5 laboratoires (UXG-Lite + USW-24 + U6+ + postes)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52 875 €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Équipement 15 centres (UXG-Lite + USW-Lite + U6+ + postes + laptop recondit.)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2027-2028</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70 575 €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Pilotage et accompagnement (allégé — COPIL biennal)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15 000 €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Renouvellement parc (VNX + Wi-Fi + 12 smartphones)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7 205 €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Sous-total HT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369 197 €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Provision pour aléas (8 %)</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29 536 €</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 PROJET 5 ANS HT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398 733 €</w:t>
            </w:r>
            <w:bookmarkStart w:id="72" w:name="récapitulatif-par-poste"/>
            <w:bookmarkEnd w:id="72"/>
          </w:p>
        </w:tc>
      </w:tr>
    </w:tbl>
    <w:p>
      <w:pPr>
        <w:pStyle w:val="Heading2"/>
        <w:rPr/>
      </w:pPr>
      <w:r>
        <w:rPr>
          <w:b/>
          <w:bCs/>
        </w:rPr>
        <w:t>12.2 Situation budgétaire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395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Montant HT</w:t>
            </w:r>
          </w:p>
        </w:tc>
      </w:tr>
      <w:tr>
        <w:trPr/>
        <w:tc>
          <w:tcPr>
            <w:tcW w:w="396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Budget alloué (15 % de 3 M€)</w:t>
            </w:r>
          </w:p>
        </w:tc>
        <w:tc>
          <w:tcPr>
            <w:tcW w:w="395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450 000 €</w:t>
            </w:r>
          </w:p>
        </w:tc>
      </w:tr>
      <w:tr>
        <w:trPr/>
        <w:tc>
          <w:tcPr>
            <w:tcW w:w="396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Budget consommé</w:t>
            </w:r>
          </w:p>
        </w:tc>
        <w:tc>
          <w:tcPr>
            <w:tcW w:w="395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398 733 €</w:t>
            </w:r>
          </w:p>
        </w:tc>
      </w:tr>
      <w:tr>
        <w:trPr/>
        <w:tc>
          <w:tcPr>
            <w:tcW w:w="396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Réserve disponible</w:t>
            </w:r>
          </w:p>
        </w:tc>
        <w:tc>
          <w:tcPr>
            <w:tcW w:w="395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51 267 € (11,4 %)</w:t>
            </w:r>
          </w:p>
        </w:tc>
      </w:tr>
    </w:tbl>
    <w:p>
      <w:pPr>
        <w:pStyle w:val="BodyText"/>
        <w:rPr/>
      </w:pPr>
      <w:r>
        <w:rPr/>
        <w:t>La réserve de 51 267 €, élargie par la bascule vers l’architecture réseau 100 % Ubiquiti (−21 557 € par rapport à la version précédente), couvre confortablement :</w:t>
      </w:r>
    </w:p>
    <w:p>
      <w:pPr>
        <w:pStyle w:val="Normal"/>
        <w:numPr>
          <w:ilvl w:val="0"/>
          <w:numId w:val="57"/>
        </w:numPr>
        <w:rPr/>
      </w:pPr>
      <w:r>
        <w:rPr/>
        <w:t>Migration des 2 VMs WS 2016 (WinAnalyse, Winfile) avant janvier 2027 (~4 000-6 000 €).</w:t>
      </w:r>
    </w:p>
    <w:p>
      <w:pPr>
        <w:pStyle w:val="Normal"/>
        <w:numPr>
          <w:ilvl w:val="0"/>
          <w:numId w:val="58"/>
        </w:numPr>
        <w:rPr/>
      </w:pPr>
      <w:r>
        <w:rPr/>
        <w:t>Aléas opérationnels non identifiés (variation TJM, retards livraison, ajustements techniques mineurs).</w:t>
      </w:r>
    </w:p>
    <w:p>
      <w:pPr>
        <w:pStyle w:val="FirstParagraph"/>
        <w:rPr/>
      </w:pPr>
      <w:r>
        <w:rPr>
          <w:b/>
          <w:bCs/>
        </w:rPr>
        <w:t xml:space="preserve">Hors périmètre projet : </w:t>
      </w:r>
      <w:r>
        <w:rPr/>
        <w:t>le SGL/SIL et l’ERP sont financés sur des budgets métier dédiés. L’intégration SI du concurrent racheté en 2029 fera l’objet d’un projet et budget distincts.</w:t>
      </w:r>
    </w:p>
    <w:p>
      <w:pPr>
        <w:pStyle w:val="Heading1"/>
        <w:rPr/>
      </w:pPr>
      <w:bookmarkStart w:id="73" w:name="conformité-réglementaire"/>
      <w:r>
        <w:rPr>
          <w:b/>
          <w:bCs/>
        </w:rPr>
        <w:t>13. Conformité réglementaire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Exigence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Mesure mise en œuvre</w:t>
            </w:r>
          </w:p>
        </w:tc>
        <w:tc>
          <w:tcPr>
            <w:tcW w:w="312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Composant concerné</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HDS</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Segmentation VLAN (VLAN 30 isolé), chiffrement IPsec AES-256 (SD-WAN), backup externalisé hébergeur HDS (OVHcloud), Exchange Online (datacenters UE, hors données de santé), switchs sous support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VLAN 30 + VPN + OVH + Exchange + nouveaux switchs</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RGPD</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Authentification forte AD, logs audit, traçabilité ESET, chiffrement (VPN, BitLocker, ZFS), DPA Microsoft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AD + ESET + VPN + Exchange Online</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ISO 15189</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Traçabilité accès données analyse, séparation environnements, audit log 5 ans, backup quotidien</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VLAN + AD + WinAnalyse + PBS + LTO</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Budget ≤ 450 K€</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 5 ans : 398 733 € (88,6 % du budget)</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Ensemble du projet</w:t>
            </w:r>
          </w:p>
        </w:tc>
      </w:tr>
      <w:tr>
        <w:trPr/>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Disponibilité</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HA Proxmox 4 hosts, SLA Exchange Online 99,9 %, SD-WAN IPsec multi-sites, PBS quotidien + OVH HDS + LTO mensuel</w:t>
            </w:r>
          </w:p>
        </w:tc>
        <w:tc>
          <w:tcPr>
            <w:tcW w:w="312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Proxmox HA + Exchange + UXG SD-WAN + sauvegarde 3-2-1-1-0</w:t>
            </w:r>
          </w:p>
        </w:tc>
      </w:tr>
    </w:tbl>
    <w:p>
      <w:pPr>
        <w:pStyle w:val="Heading2"/>
        <w:rPr/>
      </w:pPr>
      <w:r>
        <w:rPr>
          <w:b/>
          <w:bCs/>
        </w:rPr>
        <w:t>13.1 Plan de mise en conformité HDS détaillé</w:t>
      </w:r>
    </w:p>
    <w:p>
      <w:pPr>
        <w:pStyle w:val="Normal"/>
        <w:numPr>
          <w:ilvl w:val="0"/>
          <w:numId w:val="59"/>
        </w:numPr>
        <w:rPr/>
      </w:pPr>
      <w:r>
        <w:rPr>
          <w:b/>
          <w:bCs/>
        </w:rPr>
        <w:t xml:space="preserve">Hébergement physique : </w:t>
      </w:r>
      <w:r>
        <w:rPr/>
        <w:t>données médicales primaires on-premise (SSD R760 + VNX), locaux GSBLAB conformes aux exigences physiques HDS.</w:t>
      </w:r>
    </w:p>
    <w:p>
      <w:pPr>
        <w:pStyle w:val="Normal"/>
        <w:numPr>
          <w:ilvl w:val="0"/>
          <w:numId w:val="60"/>
        </w:numPr>
        <w:rPr/>
      </w:pPr>
      <w:r>
        <w:rPr>
          <w:b/>
          <w:bCs/>
        </w:rPr>
        <w:t xml:space="preserve">Hébergement infogéré : </w:t>
      </w:r>
      <w:r>
        <w:rPr/>
        <w:t>copie de sauvegarde externalisée chez OVHcloud (attestation HDS de niveau hébergeur infrastructure).</w:t>
      </w:r>
    </w:p>
    <w:p>
      <w:pPr>
        <w:pStyle w:val="Normal"/>
        <w:numPr>
          <w:ilvl w:val="0"/>
          <w:numId w:val="61"/>
        </w:numPr>
        <w:rPr/>
      </w:pPr>
      <w:r>
        <w:rPr>
          <w:b/>
          <w:bCs/>
        </w:rPr>
        <w:t xml:space="preserve">Messagerie cloud : </w:t>
      </w:r>
      <w:r>
        <w:rPr/>
        <w:t>Microsoft Exchange Online s’appuie sur des datacenters Microsoft situés en Europe, certifiés HDS au niveau infrastructure (Azure). Par mesure de précaution, AUCUNE donnée de santé à caractère personnel ne transite par la messagerie : les données patients restent isolées sur le réseau interne (VLAN 30, on-premise) et ne quittent jamais les locaux GSBLAB. DPA Microsoft à signer.</w:t>
      </w:r>
    </w:p>
    <w:p>
      <w:pPr>
        <w:pStyle w:val="Normal"/>
        <w:numPr>
          <w:ilvl w:val="0"/>
          <w:numId w:val="62"/>
        </w:numPr>
        <w:rPr/>
      </w:pPr>
      <w:r>
        <w:rPr>
          <w:b/>
          <w:bCs/>
        </w:rPr>
        <w:t xml:space="preserve">Chiffrement : </w:t>
      </w:r>
      <w:r>
        <w:rPr/>
        <w:t>AES-256 IPsec (SD-WAN), BitLocker laptops, chiffrement PBS natif.</w:t>
      </w:r>
    </w:p>
    <w:p>
      <w:pPr>
        <w:pStyle w:val="Normal"/>
        <w:numPr>
          <w:ilvl w:val="0"/>
          <w:numId w:val="63"/>
        </w:numPr>
        <w:rPr/>
      </w:pPr>
      <w:r>
        <w:rPr>
          <w:b/>
          <w:bCs/>
        </w:rPr>
        <w:t xml:space="preserve">Audit et traçabilité : </w:t>
      </w:r>
      <w:r>
        <w:rPr/>
        <w:t>logs centralisés (WEF vers WinAnalyse), conservation 5 ans, accès restreint IT + DPO.</w:t>
      </w:r>
    </w:p>
    <w:p>
      <w:pPr>
        <w:pStyle w:val="Normal"/>
        <w:numPr>
          <w:ilvl w:val="0"/>
          <w:numId w:val="64"/>
        </w:numPr>
        <w:rPr/>
      </w:pPr>
      <w:r>
        <w:rPr>
          <w:b/>
          <w:bCs/>
        </w:rPr>
        <w:t xml:space="preserve">Sauvegarde 3-2-1-1-0 (ANSSI) : </w:t>
      </w:r>
      <w:r>
        <w:rPr/>
        <w:t>3 copies (production + PBS + LTO), 2 médias (disque + bande), 1 hors site (OVH), 1 hors ligne (LTO en coffre), 0 erreur (vérification PBS automatique).</w:t>
      </w:r>
      <w:bookmarkEnd w:id="73"/>
    </w:p>
    <w:p>
      <w:pPr>
        <w:pStyle w:val="Heading1"/>
        <w:rPr/>
      </w:pPr>
      <w:bookmarkStart w:id="74" w:name="conclusion"/>
      <w:r>
        <w:rPr>
          <w:b/>
          <w:bCs/>
        </w:rPr>
        <w:t>14. Conclusion</w:t>
      </w:r>
    </w:p>
    <w:p>
      <w:pPr>
        <w:pStyle w:val="FirstParagraph"/>
        <w:rPr/>
      </w:pPr>
      <w:r>
        <w:rPr/>
        <w:t>Ce projet de migration adopte une approche pragmatique et maîtrisée. En ne modifiant que les composants strictement obsolètes ou non conformes, GSBLAB obtient une infrastructure modernisée, sécurisée et scalable, dans l’enveloppe budgétaire de 450 000 €.</w:t>
      </w:r>
    </w:p>
    <w:p>
      <w:pPr>
        <w:pStyle w:val="BodyText"/>
        <w:rPr/>
      </w:pPr>
      <w:r>
        <w:rPr/>
        <w:t>Chaque décision de conservation a été explicitement justifiée (section 3) : les serveurs R730 deviennent un standby HA fiabilisé par SSD, la baie VNX continue en stockage tertiaire, le robot PowerVault est repositionné sur l’air-gap anti-ransomware et les archives long terme, les postes Z440 restent en production bureautique. Cette logique « conserver tant que ça apporte de la valeur » maximise le ROI des investissements antérieurs.</w:t>
      </w:r>
    </w:p>
    <w:p>
      <w:pPr>
        <w:pStyle w:val="BodyText"/>
        <w:rPr/>
      </w:pPr>
      <w:r>
        <w:rPr/>
        <w:t>À l’inverse, les composants en fin de vie (ESXi 6, Exchange 2013, WS 2012 R2, switchs SF200-24P) sont remplacés sans concession ; les switchs SG350XG-24, encore supportés jusqu’en avril 2028, sont remplacés par anticipation dès 2026 pour homogénéiser le parc réseau (Ubiquiti UniFi).</w:t>
      </w:r>
    </w:p>
    <w:p>
      <w:pPr>
        <w:pStyle w:val="BodyText"/>
        <w:rPr/>
      </w:pPr>
      <w:r>
        <w:rPr/>
        <w:t>Les choix structurants sont :</w:t>
      </w:r>
    </w:p>
    <w:p>
      <w:pPr>
        <w:pStyle w:val="Normal"/>
        <w:numPr>
          <w:ilvl w:val="0"/>
          <w:numId w:val="65"/>
        </w:numPr>
        <w:rPr/>
      </w:pPr>
      <w:r>
        <w:rPr/>
        <w:t>Office LTSC perpétuel + Exchange Online Plan 1 : élimine les 2 VMs Exchange obsolètes et répond au besoin de mobilité sans surcoût.</w:t>
      </w:r>
    </w:p>
    <w:p>
      <w:pPr>
        <w:pStyle w:val="Normal"/>
        <w:numPr>
          <w:ilvl w:val="0"/>
          <w:numId w:val="66"/>
        </w:numPr>
        <w:rPr/>
      </w:pPr>
      <w:r>
        <w:rPr/>
        <w:t>Proxmox VE : économie de ~65 000 € vs VMware, sans vendor lock-in Broadcom.</w:t>
      </w:r>
    </w:p>
    <w:p>
      <w:pPr>
        <w:pStyle w:val="Normal"/>
        <w:numPr>
          <w:ilvl w:val="0"/>
          <w:numId w:val="67"/>
        </w:numPr>
        <w:rPr/>
      </w:pPr>
      <w:r>
        <w:rPr/>
        <w:t>Windows Server 2022 avec CAL mix User/Device : conformité avec optimisation budgétaire fine.</w:t>
      </w:r>
    </w:p>
    <w:p>
      <w:pPr>
        <w:pStyle w:val="Normal"/>
        <w:numPr>
          <w:ilvl w:val="0"/>
          <w:numId w:val="68"/>
        </w:numPr>
        <w:rPr/>
      </w:pPr>
      <w:r>
        <w:rPr/>
        <w:t>VLAN + SD-WAN IPsec Ubiquiti + remplacement des switchs et passerelles existants : conformité HDS sans licence récurrente.</w:t>
      </w:r>
    </w:p>
    <w:p>
      <w:pPr>
        <w:pStyle w:val="Normal"/>
        <w:numPr>
          <w:ilvl w:val="0"/>
          <w:numId w:val="69"/>
        </w:numPr>
        <w:rPr/>
      </w:pPr>
      <w:r>
        <w:rPr/>
        <w:t>ESET + Proxmox Backup Server + OVH Cold Archive HDS + LTO : sécurité moderne à moins de la moitié du coût d’une solution tout-en-un, avec sauvegarde 3-2-1-1-0 conforme ANSSI.</w:t>
      </w:r>
    </w:p>
    <w:p>
      <w:pPr>
        <w:pStyle w:val="Normal"/>
        <w:numPr>
          <w:ilvl w:val="0"/>
          <w:numId w:val="70"/>
        </w:numPr>
        <w:rPr/>
      </w:pPr>
      <w:r>
        <w:rPr/>
        <w:t>Serveurs S2 (2× R760 + R730 SSD en standby) : performance et redondance pour absorber le SGL/SIL et l’ERP.</w:t>
      </w:r>
    </w:p>
    <w:p>
      <w:pPr>
        <w:pStyle w:val="FirstParagraph"/>
        <w:rPr/>
      </w:pPr>
      <w:r>
        <w:rPr>
          <w:b/>
          <w:bCs/>
        </w:rPr>
        <w:t>Budget consommé : 398 733 € / 450 000 € (88,6 %) — Réserve : 51 267 € (11,4 %)</w:t>
      </w:r>
    </w:p>
    <w:p>
      <w:pPr>
        <w:pStyle w:val="BodyText"/>
        <w:rPr/>
      </w:pPr>
      <w:r>
        <w:rPr>
          <w:b/>
          <w:bCs/>
        </w:rPr>
        <w:t>FACTURE PRO FORMA</w:t>
      </w:r>
    </w:p>
    <w:p>
      <w:pPr>
        <w:pStyle w:val="BodyText"/>
        <w:rPr/>
      </w:pPr>
      <w:r>
        <w:rPr>
          <w:b/>
          <w:bCs/>
        </w:rPr>
        <w:t>Projet de Migration SI — GSBLAB</w:t>
      </w:r>
    </w:p>
    <w:p>
      <w:pPr>
        <w:pStyle w:val="BodyText"/>
        <w:rPr/>
      </w:pPr>
      <w:r>
        <w:rPr>
          <w:i/>
          <w:iCs/>
        </w:rPr>
        <w:t>Période : 2026 — 2030 (5 ans)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ÉMETTEUR</w:t>
            </w:r>
            <w:r>
              <w:rPr>
                <w:rFonts w:eastAsia="Cambria" w:cs=""/>
                <w:kern w:val="0"/>
                <w:sz w:val="24"/>
                <w:szCs w:val="24"/>
                <w:lang w:val="en-US" w:eastAsia="en-US" w:bidi="ar-SA"/>
              </w:rPr>
              <w:t xml:space="preserve"> Cabinet conseil SI (prestataire) Réf. devis : GSBLAB-2026-V10 Date : Juin 2026</w:t>
            </w:r>
          </w:p>
        </w:tc>
        <w:tc>
          <w:tcPr>
            <w:tcW w:w="468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DESTINATAIRE</w:t>
            </w:r>
            <w:r>
              <w:rPr>
                <w:rFonts w:eastAsia="Cambria" w:cs=""/>
                <w:kern w:val="0"/>
                <w:sz w:val="24"/>
                <w:szCs w:val="24"/>
                <w:lang w:val="en-US" w:eastAsia="en-US" w:bidi="ar-SA"/>
              </w:rPr>
              <w:t xml:space="preserve"> </w:t>
            </w:r>
            <w:r>
              <w:rPr>
                <w:rFonts w:eastAsia="Cambria" w:cs=""/>
                <w:b/>
                <w:bCs/>
                <w:kern w:val="0"/>
                <w:sz w:val="24"/>
                <w:szCs w:val="24"/>
                <w:lang w:val="en-US" w:eastAsia="en-US" w:bidi="ar-SA"/>
              </w:rPr>
              <w:t>GSBLAB</w:t>
            </w:r>
            <w:r>
              <w:rPr>
                <w:rFonts w:eastAsia="Cambria" w:cs=""/>
                <w:kern w:val="0"/>
                <w:sz w:val="24"/>
                <w:szCs w:val="24"/>
                <w:lang w:val="en-US" w:eastAsia="en-US" w:bidi="ar-SA"/>
              </w:rPr>
              <w:t xml:space="preserve"> Siège : Strasbourg Contacts : DAF M. Clément TUNE — DRH Mme Eva PASSER</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Ligne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Désignation</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Phase</w:t>
            </w:r>
          </w:p>
        </w:tc>
        <w:tc>
          <w:tcPr>
            <w:tcW w:w="234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Montant HT</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01</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Office LTSC Standard 2024 (perpétuel)</w:t>
            </w:r>
            <w:r>
              <w:rPr>
                <w:rFonts w:eastAsia="Cambria" w:cs=""/>
                <w:kern w:val="0"/>
                <w:sz w:val="24"/>
                <w:szCs w:val="24"/>
                <w:lang w:val="en-US" w:eastAsia="en-US" w:bidi="ar-SA"/>
              </w:rPr>
              <w:t xml:space="preserve"> </w:t>
            </w:r>
            <w:r>
              <w:rPr>
                <w:rFonts w:eastAsia="Cambria" w:cs=""/>
                <w:i/>
                <w:iCs/>
                <w:kern w:val="0"/>
                <w:sz w:val="24"/>
                <w:szCs w:val="24"/>
                <w:lang w:val="en-US" w:eastAsia="en-US" w:bidi="ar-SA"/>
              </w:rPr>
              <w:t>237 postes × 260 € HT (licence CSP perpétuelle par poste)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61 620,00 €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02</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Exchange Online Plan 1 (cloud)</w:t>
            </w:r>
            <w:r>
              <w:rPr>
                <w:rFonts w:eastAsia="Cambria" w:cs=""/>
                <w:kern w:val="0"/>
                <w:sz w:val="24"/>
                <w:szCs w:val="24"/>
                <w:lang w:val="en-US" w:eastAsia="en-US" w:bidi="ar-SA"/>
              </w:rPr>
              <w:t xml:space="preserve"> </w:t>
            </w:r>
            <w:r>
              <w:rPr>
                <w:rFonts w:eastAsia="Cambria" w:cs=""/>
                <w:i/>
                <w:iCs/>
                <w:kern w:val="0"/>
                <w:sz w:val="24"/>
                <w:szCs w:val="24"/>
                <w:lang w:val="en-US" w:eastAsia="en-US" w:bidi="ar-SA"/>
              </w:rPr>
              <w:t>Annual Commit 3,40 €/user/mois × 318 users moy. × 60 mois</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64 872,00 €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03</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Migration hyperviseur ESXi → Proxmox VE</w:t>
            </w:r>
            <w:r>
              <w:rPr>
                <w:rFonts w:eastAsia="Cambria" w:cs=""/>
                <w:kern w:val="0"/>
                <w:sz w:val="24"/>
                <w:szCs w:val="24"/>
                <w:lang w:val="en-US" w:eastAsia="en-US" w:bidi="ar-SA"/>
              </w:rPr>
              <w:t xml:space="preserve"> </w:t>
            </w:r>
            <w:r>
              <w:rPr>
                <w:rFonts w:eastAsia="Cambria" w:cs=""/>
                <w:i/>
                <w:iCs/>
                <w:kern w:val="0"/>
                <w:sz w:val="24"/>
                <w:szCs w:val="24"/>
                <w:lang w:val="en-US" w:eastAsia="en-US" w:bidi="ar-SA"/>
              </w:rPr>
              <w:t>Licence 0 € + support 2 sockets × 440 € × 5 ans (4 400 €) + prestation 8 j × 750 € (6 000 €)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10 400,00 €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04</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Serveurs Dell R760 (Scénario S2) + migration SSD R730</w:t>
            </w:r>
            <w:r>
              <w:rPr>
                <w:rFonts w:eastAsia="Cambria" w:cs=""/>
                <w:kern w:val="0"/>
                <w:sz w:val="24"/>
                <w:szCs w:val="24"/>
                <w:lang w:val="en-US" w:eastAsia="en-US" w:bidi="ar-SA"/>
              </w:rPr>
              <w:t xml:space="preserve"> </w:t>
            </w:r>
            <w:r>
              <w:rPr>
                <w:rFonts w:eastAsia="Cambria" w:cs=""/>
                <w:i/>
                <w:iCs/>
                <w:kern w:val="0"/>
                <w:sz w:val="24"/>
                <w:szCs w:val="24"/>
                <w:lang w:val="en-US" w:eastAsia="en-US" w:bidi="ar-SA"/>
              </w:rPr>
              <w:t>2× R760 Xeon Silver 4416+, 256 Go RAM, 8× 3,84 To SSD NVMe (24 200 €) + garantie 5 ans (1 000 €) + 4× SSD SAS 3,84 To pour R730 standby (3 400 €) + prestation 8 j × 750 € (6 000 €)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34 600,00 €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05</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Windows Server 2022 + 250 CAL mix</w:t>
            </w:r>
            <w:r>
              <w:rPr>
                <w:rFonts w:eastAsia="Cambria" w:cs=""/>
                <w:kern w:val="0"/>
                <w:sz w:val="24"/>
                <w:szCs w:val="24"/>
                <w:lang w:val="en-US" w:eastAsia="en-US" w:bidi="ar-SA"/>
              </w:rPr>
              <w:t xml:space="preserve"> </w:t>
            </w:r>
            <w:r>
              <w:rPr>
                <w:rFonts w:eastAsia="Cambria" w:cs=""/>
                <w:i/>
                <w:iCs/>
                <w:kern w:val="0"/>
                <w:sz w:val="24"/>
                <w:szCs w:val="24"/>
                <w:lang w:val="en-US" w:eastAsia="en-US" w:bidi="ar-SA"/>
              </w:rPr>
              <w:t>2× WS 2022 Standard 16 cores (2 100 €) + 64 CAL User + 186 CAL Device × 33 € (8 250 €) + prestation 8 j × 750 € (6 000 €)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16 350,00 €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Réseau — VLAN + SD-WAN Ubiquiti + switchs + passerelles</w:t>
            </w:r>
            <w:r>
              <w:rPr>
                <w:rFonts w:eastAsia="Cambria" w:cs=""/>
                <w:kern w:val="0"/>
                <w:sz w:val="24"/>
                <w:szCs w:val="24"/>
                <w:lang w:val="en-US" w:eastAsia="en-US" w:bidi="ar-SA"/>
              </w:rPr>
              <w:t xml:space="preserve"> </w:t>
            </w:r>
            <w:r>
              <w:rPr>
                <w:rFonts w:eastAsia="Cambria" w:cs=""/>
                <w:i/>
                <w:iCs/>
                <w:kern w:val="0"/>
                <w:sz w:val="24"/>
                <w:szCs w:val="24"/>
                <w:lang w:val="en-US" w:eastAsia="en-US" w:bidi="ar-SA"/>
              </w:rPr>
              <w:t>Config VLAN 3 j × 500 € (1 500 €) + config SD-WAN Magic Site-to-Site 2 j × 700 € (1 400 €) + 11× Ubiquiti USW-24 (2 530 €) + 8× Ubiquiti UXG-Lite siège et sites existants (1 040 €)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6 470,00 €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07</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Endpoint Protection + sauvegarde</w:t>
            </w:r>
            <w:r>
              <w:rPr>
                <w:rFonts w:eastAsia="Cambria" w:cs=""/>
                <w:kern w:val="0"/>
                <w:sz w:val="24"/>
                <w:szCs w:val="24"/>
                <w:lang w:val="en-US" w:eastAsia="en-US" w:bidi="ar-SA"/>
              </w:rPr>
              <w:t xml:space="preserve"> </w:t>
            </w:r>
            <w:r>
              <w:rPr>
                <w:rFonts w:eastAsia="Cambria" w:cs=""/>
                <w:i/>
                <w:iCs/>
                <w:kern w:val="0"/>
                <w:sz w:val="24"/>
                <w:szCs w:val="24"/>
                <w:lang w:val="en-US" w:eastAsia="en-US" w:bidi="ar-SA"/>
              </w:rPr>
              <w:t>ESET postes (20 000 €) + ESET 4 serveurs Windows (2 000 €) + PBS gratuit + OVH Cold Archive HDS (1 500 €) + LTO (230 €) + Wazuh (1 500 €) + prestation (4 000 €)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29 230,00 €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08</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Équipement 5 laboratoires (Toulouse, Marseille, Nantes, Lyon, Lille)</w:t>
            </w:r>
            <w:r>
              <w:rPr>
                <w:rFonts w:eastAsia="Cambria" w:cs=""/>
                <w:kern w:val="0"/>
                <w:sz w:val="24"/>
                <w:szCs w:val="24"/>
                <w:lang w:val="en-US" w:eastAsia="en-US" w:bidi="ar-SA"/>
              </w:rPr>
              <w:t xml:space="preserve"> </w:t>
            </w:r>
            <w:r>
              <w:rPr>
                <w:rFonts w:eastAsia="Cambria" w:cs=""/>
                <w:i/>
                <w:iCs/>
                <w:kern w:val="0"/>
                <w:sz w:val="24"/>
                <w:szCs w:val="24"/>
                <w:lang w:val="en-US" w:eastAsia="en-US" w:bidi="ar-SA"/>
              </w:rPr>
              <w:t>Par labo : 1 Ubiquiti UXG-Lite + 1 Ubiquiti USW-24 + 1 Ubiquiti U6+ + 10 PC HP ProDesk 400 G9 + 2 laptops HP 250 G10 + 1 Ricoh MPC307SPF + câblage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52 875,00 €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09</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Équipement 15 centres de prélèvement</w:t>
            </w:r>
            <w:r>
              <w:rPr>
                <w:rFonts w:eastAsia="Cambria" w:cs=""/>
                <w:kern w:val="0"/>
                <w:sz w:val="24"/>
                <w:szCs w:val="24"/>
                <w:lang w:val="en-US" w:eastAsia="en-US" w:bidi="ar-SA"/>
              </w:rPr>
              <w:t xml:space="preserve"> </w:t>
            </w:r>
            <w:r>
              <w:rPr>
                <w:rFonts w:eastAsia="Cambria" w:cs=""/>
                <w:i/>
                <w:iCs/>
                <w:kern w:val="0"/>
                <w:sz w:val="24"/>
                <w:szCs w:val="24"/>
                <w:lang w:val="en-US" w:eastAsia="en-US" w:bidi="ar-SA"/>
              </w:rPr>
              <w:t>Par centre : 1 Ubiquiti UXG-Lite + 1 USW-Lite-16-PoE + 1 U6+ + 5 PC HP ProDesk 400 G9 + 1 laptop HP 250 G10 reconditionné (350 €) + câblage</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2027-2028</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70 575,00 €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Pilotage et accompagnement</w:t>
            </w:r>
            <w:r>
              <w:rPr>
                <w:rFonts w:eastAsia="Cambria" w:cs=""/>
                <w:kern w:val="0"/>
                <w:sz w:val="24"/>
                <w:szCs w:val="24"/>
                <w:lang w:val="en-US" w:eastAsia="en-US" w:bidi="ar-SA"/>
              </w:rPr>
              <w:t xml:space="preserve"> </w:t>
            </w:r>
            <w:r>
              <w:rPr>
                <w:rFonts w:eastAsia="Cambria" w:cs=""/>
                <w:i/>
                <w:iCs/>
                <w:kern w:val="0"/>
                <w:sz w:val="24"/>
                <w:szCs w:val="24"/>
                <w:lang w:val="en-US" w:eastAsia="en-US" w:bidi="ar-SA"/>
              </w:rPr>
              <w:t>Chef de projet forfait (8 000 €) + documentation et transfert (5 000 €) + COPIL biennal + audit (2 000 €)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2026-2030</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15 000,00 €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11</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Renouvellement disques baie Dell VNX 5200</w:t>
            </w:r>
            <w:r>
              <w:rPr>
                <w:rFonts w:eastAsia="Cambria" w:cs=""/>
                <w:kern w:val="0"/>
                <w:sz w:val="24"/>
                <w:szCs w:val="24"/>
                <w:lang w:val="en-US" w:eastAsia="en-US" w:bidi="ar-SA"/>
              </w:rPr>
              <w:t xml:space="preserve"> </w:t>
            </w:r>
            <w:r>
              <w:rPr>
                <w:rFonts w:eastAsia="Cambria" w:cs=""/>
                <w:i/>
                <w:iCs/>
                <w:kern w:val="0"/>
                <w:sz w:val="24"/>
                <w:szCs w:val="24"/>
                <w:lang w:val="en-US" w:eastAsia="en-US" w:bidi="ar-SA"/>
              </w:rPr>
              <w:t>12× HDD SAS 2 To enterprise pour les chunks PBS + 2× SSD SATA enterprise RAID-1 pour l’OS et les métadonnées/index PBS (datastore non 100 % mécanique, conforme aux recommandations Proxmox)</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2 200,00 €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12</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Remplacement bornes Wi-Fi sites existants</w:t>
            </w:r>
            <w:r>
              <w:rPr>
                <w:rFonts w:eastAsia="Cambria" w:cs=""/>
                <w:kern w:val="0"/>
                <w:sz w:val="24"/>
                <w:szCs w:val="24"/>
                <w:lang w:val="en-US" w:eastAsia="en-US" w:bidi="ar-SA"/>
              </w:rPr>
              <w:t xml:space="preserve"> </w:t>
            </w:r>
            <w:r>
              <w:rPr>
                <w:rFonts w:eastAsia="Cambria" w:cs=""/>
                <w:i/>
                <w:iCs/>
                <w:kern w:val="0"/>
                <w:sz w:val="24"/>
                <w:szCs w:val="24"/>
                <w:lang w:val="en-US" w:eastAsia="en-US" w:bidi="ar-SA"/>
              </w:rPr>
              <w:t>9× Ubiquiti U6+ Wi-Fi 6 à 145 € (1 305 €) + 1 jour prestation installation à 500 €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1 805,00 €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13</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Renouvellement smartphones (remplacement iPhone 6S obsolètes)</w:t>
            </w:r>
            <w:r>
              <w:rPr>
                <w:rFonts w:eastAsia="Cambria" w:cs=""/>
                <w:kern w:val="0"/>
                <w:sz w:val="24"/>
                <w:szCs w:val="24"/>
                <w:lang w:val="en-US" w:eastAsia="en-US" w:bidi="ar-SA"/>
              </w:rPr>
              <w:t xml:space="preserve"> </w:t>
            </w:r>
            <w:r>
              <w:rPr>
                <w:rFonts w:eastAsia="Cambria" w:cs=""/>
                <w:i/>
                <w:iCs/>
                <w:kern w:val="0"/>
                <w:sz w:val="24"/>
                <w:szCs w:val="24"/>
                <w:lang w:val="en-US" w:eastAsia="en-US" w:bidi="ar-SA"/>
              </w:rPr>
              <w:t>15× Samsung Galaxy A16 5G à 200 € (3 000 €, MFA-ready, 6 ans de support garantis) + forfait accessoires et enrôlement MDM (200 €)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2026</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3 200,00 €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SOUS-TOTAL HT</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369 197,00 €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Provision pour aléas (8 %)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29 536,00 €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HT</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398 733,00 €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TVA 20 %</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79 746,60 €</w:t>
            </w:r>
          </w:p>
        </w:tc>
      </w:tr>
      <w:tr>
        <w:trPr/>
        <w:tc>
          <w:tcPr>
            <w:tcW w:w="233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TOTAL TTC</w:t>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478 479,60 €</w:t>
            </w:r>
          </w:p>
        </w:tc>
      </w:tr>
    </w:tbl>
    <w:p>
      <w:pPr>
        <w:pStyle w:val="Heading2"/>
        <w:rPr/>
      </w:pPr>
      <w:r>
        <w:rPr>
          <w:b/>
          <w:bCs/>
        </w:rPr>
        <w:t>Récapitulatif vs budget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Budget alloué HT</w:t>
            </w:r>
          </w:p>
        </w:tc>
        <w:tc>
          <w:tcPr>
            <w:tcW w:w="3959" w:type="dxa"/>
            <w:tcBorders>
              <w:bottom w:val="single" w:sz="6" w:space="0" w:color="000000"/>
            </w:tcBorders>
            <w:vAlign w:val="bottom"/>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450 000,00 €</w:t>
            </w:r>
          </w:p>
        </w:tc>
      </w:tr>
      <w:tr>
        <w:trPr/>
        <w:tc>
          <w:tcPr>
            <w:tcW w:w="3960"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Total projet HT</w:t>
            </w:r>
          </w:p>
        </w:tc>
        <w:tc>
          <w:tcPr>
            <w:tcW w:w="3959" w:type="dxa"/>
            <w:tcBorders/>
          </w:tcPr>
          <w:p>
            <w:pPr>
              <w:pStyle w:val="Compact"/>
              <w:widowControl/>
              <w:spacing w:before="36" w:after="36"/>
              <w:jc w:val="left"/>
              <w:rPr>
                <w:rFonts w:eastAsia="Cambria" w:cs=""/>
                <w:kern w:val="0"/>
                <w:sz w:val="24"/>
                <w:szCs w:val="24"/>
                <w:lang w:val="en-US" w:eastAsia="en-US" w:bidi="ar-SA"/>
              </w:rPr>
            </w:pPr>
            <w:r>
              <w:rPr>
                <w:rFonts w:eastAsia="Cambria" w:cs=""/>
                <w:kern w:val="0"/>
                <w:sz w:val="24"/>
                <w:szCs w:val="24"/>
                <w:lang w:val="en-US" w:eastAsia="en-US" w:bidi="ar-SA"/>
              </w:rPr>
              <w:t>398 733,00 €</w:t>
            </w:r>
          </w:p>
        </w:tc>
      </w:tr>
      <w:tr>
        <w:trPr/>
        <w:tc>
          <w:tcPr>
            <w:tcW w:w="3960"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Réserve disponible HT</w:t>
            </w:r>
          </w:p>
        </w:tc>
        <w:tc>
          <w:tcPr>
            <w:tcW w:w="3959" w:type="dxa"/>
            <w:tcBorders/>
          </w:tcPr>
          <w:p>
            <w:pPr>
              <w:pStyle w:val="Compact"/>
              <w:widowControl/>
              <w:spacing w:before="36" w:after="36"/>
              <w:jc w:val="left"/>
              <w:rPr>
                <w:rFonts w:eastAsia="Cambria" w:cs=""/>
                <w:kern w:val="0"/>
                <w:sz w:val="24"/>
                <w:szCs w:val="24"/>
                <w:lang w:val="en-US" w:eastAsia="en-US" w:bidi="ar-SA"/>
              </w:rPr>
            </w:pPr>
            <w:r>
              <w:rPr>
                <w:rFonts w:eastAsia="Cambria" w:cs=""/>
                <w:b/>
                <w:bCs/>
                <w:kern w:val="0"/>
                <w:sz w:val="24"/>
                <w:szCs w:val="24"/>
                <w:lang w:val="en-US" w:eastAsia="en-US" w:bidi="ar-SA"/>
              </w:rPr>
              <w:t>51 267,00 € (11,4 %)</w:t>
            </w:r>
          </w:p>
        </w:tc>
      </w:tr>
    </w:tbl>
    <w:p>
      <w:pPr>
        <w:pStyle w:val="Heading2"/>
        <w:rPr/>
      </w:pPr>
      <w:r>
        <w:rPr>
          <w:b/>
          <w:bCs/>
        </w:rPr>
        <w:t>Conditions et validité</w:t>
      </w:r>
    </w:p>
    <w:p>
      <w:pPr>
        <w:pStyle w:val="Normal"/>
        <w:numPr>
          <w:ilvl w:val="0"/>
          <w:numId w:val="71"/>
        </w:numPr>
        <w:rPr/>
      </w:pPr>
      <w:r>
        <w:rPr/>
        <w:t>Prix HT. TVA 20 % applicable selon réglementation française.</w:t>
      </w:r>
    </w:p>
    <w:p>
      <w:pPr>
        <w:pStyle w:val="Normal"/>
        <w:numPr>
          <w:ilvl w:val="0"/>
          <w:numId w:val="72"/>
        </w:numPr>
        <w:rPr/>
      </w:pPr>
      <w:r>
        <w:rPr/>
        <w:t>Devis valable 90 jours.</w:t>
      </w:r>
    </w:p>
    <w:p>
      <w:pPr>
        <w:pStyle w:val="Normal"/>
        <w:numPr>
          <w:ilvl w:val="0"/>
          <w:numId w:val="73"/>
        </w:numPr>
        <w:rPr/>
      </w:pPr>
      <w:r>
        <w:rPr/>
        <w:t>Conditions tarifaires applicables pour une signature en début de projet (Q3 2026 au plus tard).</w:t>
      </w:r>
    </w:p>
    <w:p>
      <w:pPr>
        <w:pStyle w:val="Normal"/>
        <w:numPr>
          <w:ilvl w:val="0"/>
          <w:numId w:val="74"/>
        </w:numPr>
        <w:rPr/>
      </w:pPr>
      <w:r>
        <w:rPr/>
        <w:t>Échéancier de paiement à convenir (30 % à la commande, paiements jalonnés sur livrables, abonnements récurrents prélevés annuellement).</w:t>
      </w:r>
    </w:p>
    <w:p>
      <w:pPr>
        <w:pStyle w:val="Normal"/>
        <w:numPr>
          <w:ilvl w:val="0"/>
          <w:numId w:val="75"/>
        </w:numPr>
        <w:rPr/>
      </w:pPr>
      <w:r>
        <w:rPr/>
        <w:t>Le SGL/SIL et l’ERP sont hors du périmètre de cette facture.</w:t>
      </w:r>
    </w:p>
    <w:p>
      <w:pPr>
        <w:pStyle w:val="Normal"/>
        <w:numPr>
          <w:ilvl w:val="0"/>
          <w:numId w:val="76"/>
        </w:numPr>
        <w:rPr/>
      </w:pPr>
      <w:r>
        <w:rPr/>
        <w:t>L’intégration SI lors du rachat du concurrent en 2029 fera l’objet d’un projet et d’une facture distincts.</w:t>
      </w:r>
    </w:p>
    <w:p>
      <w:pPr>
        <w:pStyle w:val="FirstParagraph"/>
        <w:rPr/>
      </w:pPr>
      <w:r>
        <w:rPr>
          <w:i/>
          <w:iCs/>
        </w:rPr>
        <w:t xml:space="preserve">— </w:t>
      </w:r>
      <w:r>
        <w:rPr>
          <w:i/>
          <w:iCs/>
        </w:rPr>
        <w:t>Fin du document —</w:t>
      </w:r>
    </w:p>
    <w:p>
      <w:pPr>
        <w:pStyle w:val="BodyText"/>
        <w:spacing w:before="180" w:after="180"/>
        <w:rPr/>
      </w:pPr>
      <w:bookmarkStart w:id="75" w:name="conclusion"/>
      <w:r>
        <w:rPr/>
        <w:t>Confidentiel — Page /</w:t>
      </w:r>
      <w:bookmarkEnd w:id="7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Cambria" w:cs="" w:cstheme="minorBidi" w:eastAsia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rFonts w:ascii="Arial" w:hAnsi="Arial"/>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rFonts w:ascii="Arial" w:hAnsi="Arial"/>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2026-06-10T08:54:18Z</dcterms:created>
  <dc:creator/>
  <dc:description/>
  <dc:language>en-US</dc:language>
  <cp:lastModifiedBy/>
  <dcterms:modified xsi:type="dcterms:W3CDTF">2026-06-10T08:54:18Z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