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Доставка по городу и в регионы: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Доставка по городу в пределах КАД 250р.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Доставку по России до покупателя осуществляется транспортными компаниями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Офис продаж и пункт самовывоза: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офисе можно в живую посмотреть весь модельный ряд оборудования, получить консультацию и забрать заказ самовывозом.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Грамотная консультация квалифицированного менеджера 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Менеджер поможет подобрать вам видеорегистратор в соответствии с вашим запросом и ответит на технически вопросы.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Работаем с юр.лицами: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Выгодные условия для корпоративных клиентов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Безналичный расчет,НДС.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Сервисный центр оборудования Thinkware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Компания ТД Таурус является единственным официальным сервис центром на территории СЗФО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осуществляем гарантийный и посгарантийный ремонт 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Принимаем к оплате Visa /Mastercard: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