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YaHei" w:hAnsi="Microsoft YaHei" w:eastAsia="Microsoft YaHei"/>
          <w:b/>
          <w:color w:val="000000"/>
          <w:sz w:val="48"/>
        </w:rPr>
        <w:t>LitePI 实验数据集与结果汇总</w:t>
      </w:r>
    </w:p>
    <w:p>
      <w:pPr>
        <w:pStyle w:val="Subtitle"/>
        <w:spacing w:after="300"/>
      </w:pPr>
      <w:r>
        <w:rPr>
          <w:rFonts w:ascii="Microsoft YaHei" w:hAnsi="Microsoft YaHei" w:eastAsia="Microsoft YaHei"/>
          <w:color w:val="000000"/>
          <w:sz w:val="25"/>
        </w:rPr>
        <w:t>数据源、实验用途、CIFAR-10 精度与 Raspberry Pi 5 双机结果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1440"/>
            <w:shd w:fill="DCE6F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36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LitePI</w:t>
            </w:r>
          </w:p>
        </w:tc>
        <w:tc>
          <w:tcPr>
            <w:tcW w:type="dxa" w:w="1656"/>
            <w:shd w:fill="DCE6F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整理日期</w:t>
            </w:r>
          </w:p>
        </w:tc>
        <w:tc>
          <w:tcPr>
            <w:tcW w:type="dxa" w:w="302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2026-10-24</w:t>
            </w:r>
          </w:p>
        </w:tc>
      </w:tr>
      <w:tr>
        <w:tc>
          <w:tcPr>
            <w:tcW w:type="dxa" w:w="1440"/>
            <w:shd w:fill="DCE6F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整理人</w:t>
            </w:r>
          </w:p>
        </w:tc>
        <w:tc>
          <w:tcPr>
            <w:tcW w:type="dxa" w:w="36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王梓杨</w:t>
            </w:r>
          </w:p>
        </w:tc>
        <w:tc>
          <w:tcPr>
            <w:tcW w:type="dxa" w:w="1656"/>
            <w:shd w:fill="DCE6F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文档范围</w:t>
            </w:r>
          </w:p>
        </w:tc>
        <w:tc>
          <w:tcPr>
            <w:tcW w:type="dxa" w:w="302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数据集与当前实验数据</w:t>
            </w:r>
          </w:p>
        </w:tc>
      </w:tr>
    </w:tbl>
    <w:p>
      <w:pPr>
        <w:spacing w:after="40"/>
      </w:pPr>
    </w:p>
    <w:p>
      <w:pPr>
        <w:spacing w:after="200" w:line="288" w:lineRule="auto"/>
      </w:pPr>
      <w:r>
        <w:rPr>
          <w:rFonts w:ascii="Microsoft YaHei" w:hAnsi="Microsoft YaHei" w:eastAsia="Microsoft YaHei"/>
          <w:sz w:val="22"/>
        </w:rPr>
        <w:t>本文档汇总 LitePI 当前使用的三个公开数据集，说明各自的数据内容、目录位置、实验用途和当前状态，并补充本周已经完成的 CIFAR-10 训练与 Raspberry Pi 5 双机实测结果。文末列出尚未满足的严格协议条件，避免把参考实现误报为最终部署结果。</w:t>
      </w:r>
    </w:p>
    <w:p>
      <w:pPr>
        <w:pStyle w:val="Heading1"/>
      </w:pPr>
      <w:r>
        <w:t>1 数据集总览</w:t>
      </w:r>
    </w:p>
    <w:p>
      <w:pPr>
        <w:spacing w:after="140" w:line="283" w:lineRule="auto"/>
      </w:pPr>
      <w:r>
        <w:rPr>
          <w:rFonts w:ascii="Microsoft YaHei" w:hAnsi="Microsoft YaHei" w:eastAsia="Microsoft YaHei"/>
          <w:sz w:val="22"/>
        </w:rPr>
        <w:t>三个数据集覆盖彩色图像、灰度图像和可穿戴传感器时间序列三类输入。CIFAR-10 是当前视觉分类的主实验；MNIST 用于轻量模型和 HE 流程验证；UCI HAR 用于可穿戴人体活动识别场景。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数据集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规模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主要用途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整理目录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CIFAR-10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10 类自然物体和交通工具，32×32 RGB 图像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50,000 训练 + 10,000 测试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视觉分类主实验、Hybrid/MPC 调度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01_CIFAR10_彩色图像分类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MNIST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0-9 手写数字，28×28 灰度图像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60,000 训练 + 10,000 测试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轻量 CNN、HE 正确性和协议验证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02_MNIST_手写数字识别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UCI HAR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手机加速度计和陀螺仪传感器数据，6 类活动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7,352 训练 + 2,947 测试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可穿戴设备与时序分类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03_UCI_HAR_人体活动识别</w:t>
            </w:r>
          </w:p>
        </w:tc>
      </w:tr>
    </w:tbl>
    <w:p>
      <w:pPr>
        <w:spacing w:after="40"/>
      </w:pPr>
    </w:p>
    <w:p>
      <w:pPr>
        <w:pStyle w:val="Heading1"/>
      </w:pPr>
      <w:r>
        <w:t>2 CIFAR-10 数据集</w:t>
      </w:r>
    </w:p>
    <w:p>
      <w:pPr>
        <w:spacing w:after="140" w:line="283" w:lineRule="auto"/>
      </w:pPr>
      <w:r>
        <w:rPr>
          <w:rFonts w:ascii="Microsoft YaHei" w:hAnsi="Microsoft YaHei" w:eastAsia="Microsoft YaHei"/>
          <w:sz w:val="22"/>
        </w:rPr>
        <w:t>CIFAR-10 包含飞机、汽车、鸟、猫、鹿、狗、青蛙、马、船和卡车 10 个类别。训练集由 5 个 batch 组成，每个 batch 10,000 张图像，测试 batch 10,000 张。图像为 32×32 三通道 RGB，适合评估颜色信息、BatchNorm 和卷积深度对精度的影响。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训练集：data_batch_1 至 data_batch_5，共 50,000 张。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测试集：test_batch，共 10,000 张。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标签说明：batches.meta；原始压缩包：cifar-10-python.tar.gz。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当前主实验使用 RGB 输入和 BatchNorm，不将图像转为灰度。</w:t>
      </w:r>
    </w:p>
    <w:p>
      <w:pPr>
        <w:pStyle w:val="Heading1"/>
      </w:pPr>
      <w:r>
        <w:t>2.1 当前模型与训练结果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0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配置或结果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模型</w:t>
            </w:r>
          </w:p>
        </w:tc>
        <w:tc>
          <w:tcPr>
            <w:tcW w:type="dxa" w:w="70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FastConvNet，4 个卷积层 + 2 个全连接层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输入</w:t>
            </w:r>
          </w:p>
        </w:tc>
        <w:tc>
          <w:tcPr>
            <w:tcW w:type="dxa" w:w="70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3×32×32 RGB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非线性层</w:t>
            </w:r>
          </w:p>
        </w:tc>
        <w:tc>
          <w:tcPr>
            <w:tcW w:type="dxa" w:w="70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 个 ReLU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参数量</w:t>
            </w:r>
          </w:p>
        </w:tc>
        <w:tc>
          <w:tcPr>
            <w:tcW w:type="dxa" w:w="70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358,666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MPC 激活元素</w:t>
            </w:r>
          </w:p>
        </w:tc>
        <w:tc>
          <w:tcPr>
            <w:tcW w:type="dxa" w:w="70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20,736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乘法深度</w:t>
            </w:r>
          </w:p>
        </w:tc>
        <w:tc>
          <w:tcPr>
            <w:tcW w:type="dxa" w:w="70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10（超过当前 6 层预算）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训练</w:t>
            </w:r>
          </w:p>
        </w:tc>
        <w:tc>
          <w:tcPr>
            <w:tcW w:type="dxa" w:w="70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50 epoch，batch size 256，3 个随机种子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随机种子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测试精度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73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84.12%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74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84.84%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75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84.70%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均值 ± 标准差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84.55% ± 0.38%</w:t>
            </w:r>
          </w:p>
        </w:tc>
      </w:tr>
    </w:tbl>
    <w:p>
      <w:pPr>
        <w:spacing w:after="40"/>
      </w:pPr>
    </w:p>
    <w:p>
      <w:pPr>
        <w:spacing w:after="140" w:line="283" w:lineRule="auto"/>
      </w:pPr>
      <w:r>
        <w:rPr>
          <w:rFonts w:ascii="Microsoft YaHei" w:hAnsi="Microsoft YaHei" w:eastAsia="Microsoft YaHei"/>
          <w:sz w:val="22"/>
        </w:rPr>
        <w:t>该精度是明文训练结果，作为 Hybrid 路线的精度参考。乘法深度 10 超过当前 CKKS 的 6 层预算，因此完整模型必须使用 Hybrid/MPC，或使用 planner 将部分层替换为 P2 多项式激活。</w:t>
      </w:r>
    </w:p>
    <w:p>
      <w:pPr>
        <w:pStyle w:val="Heading1"/>
      </w:pPr>
      <w:r>
        <w:t>3 MNIST 数据集</w:t>
      </w:r>
    </w:p>
    <w:p>
      <w:pPr>
        <w:spacing w:after="140" w:line="283" w:lineRule="auto"/>
      </w:pPr>
      <w:r>
        <w:rPr>
          <w:rFonts w:ascii="Microsoft YaHei" w:hAnsi="Microsoft YaHei" w:eastAsia="Microsoft YaHei"/>
          <w:sz w:val="22"/>
        </w:rPr>
        <w:t>MNIST 用于验证轻量卷积网络、HE 加解密和 MPC 协议的正确性。数据为 28×28 灰度手写数字，类别数为 10。其规模和数据维度较小，适合先检查 CKKS 编码、im2col、解密即份额和 share-to-HE 恢复流程，再迁移到 CIFAR-10。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训练集</w:t>
            </w:r>
          </w:p>
        </w:tc>
        <w:tc>
          <w:tcPr>
            <w:tcW w:type="dxa" w:w="7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60,000 张，28×28 灰度图像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测试集</w:t>
            </w:r>
          </w:p>
        </w:tc>
        <w:tc>
          <w:tcPr>
            <w:tcW w:type="dxa" w:w="7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10,000 张，28×28 灰度图像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类别</w:t>
            </w:r>
          </w:p>
        </w:tc>
        <w:tc>
          <w:tcPr>
            <w:tcW w:type="dxa" w:w="7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0-9，共 10 类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原始格式</w:t>
            </w:r>
          </w:p>
        </w:tc>
        <w:tc>
          <w:tcPr>
            <w:tcW w:type="dxa" w:w="7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IDX 文件，另保留 .gz 压缩文件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主要用途</w:t>
            </w:r>
          </w:p>
        </w:tc>
        <w:tc>
          <w:tcPr>
            <w:tcW w:type="dxa" w:w="7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HE/MPC 小模型验证与流程对照</w:t>
            </w:r>
          </w:p>
        </w:tc>
      </w:tr>
    </w:tbl>
    <w:p>
      <w:pPr>
        <w:spacing w:after="40"/>
      </w:pPr>
    </w:p>
    <w:p>
      <w:pPr>
        <w:pStyle w:val="Heading1"/>
      </w:pPr>
      <w:r>
        <w:t>4 UCI HAR 数据集</w:t>
      </w:r>
    </w:p>
    <w:p>
      <w:pPr>
        <w:spacing w:after="140" w:line="283" w:lineRule="auto"/>
      </w:pPr>
      <w:r>
        <w:rPr>
          <w:rFonts w:ascii="Microsoft YaHei" w:hAnsi="Microsoft YaHei" w:eastAsia="Microsoft YaHei"/>
          <w:sz w:val="22"/>
        </w:rPr>
        <w:t>UCI HAR 使用智能手机内置加速度计和陀螺仪采集人体活动数据，包含走路、上楼梯、下楼梯、坐着、站立和躺着 6 类活动。数据包含原始惯性信号、预处理特征、受试者编号和标签，适合评估可穿戴设备上的时序分类和资源受限客户端场景。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训练集</w:t>
            </w:r>
          </w:p>
        </w:tc>
        <w:tc>
          <w:tcPr>
            <w:tcW w:type="dxa" w:w="7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7,352 个样本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测试集</w:t>
            </w:r>
          </w:p>
        </w:tc>
        <w:tc>
          <w:tcPr>
            <w:tcW w:type="dxa" w:w="7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2,947 个样本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活动类别</w:t>
            </w:r>
          </w:p>
        </w:tc>
        <w:tc>
          <w:tcPr>
            <w:tcW w:type="dxa" w:w="7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 类人体活动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输入类型</w:t>
            </w:r>
          </w:p>
        </w:tc>
        <w:tc>
          <w:tcPr>
            <w:tcW w:type="dxa" w:w="7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多轴加速度计与陀螺仪信号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主要用途</w:t>
            </w:r>
          </w:p>
        </w:tc>
        <w:tc>
          <w:tcPr>
            <w:tcW w:type="dxa" w:w="7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可穿戴场景、传感器分类与设备异构实验</w:t>
            </w:r>
          </w:p>
        </w:tc>
      </w:tr>
    </w:tbl>
    <w:p>
      <w:pPr>
        <w:spacing w:after="40"/>
      </w:pPr>
    </w:p>
    <w:p>
      <w:pPr>
        <w:pStyle w:val="Heading1"/>
      </w:pPr>
      <w:r>
        <w:t>5 当前实验数据</w:t>
      </w:r>
    </w:p>
    <w:p>
      <w:pPr>
        <w:spacing w:after="140" w:line="283" w:lineRule="auto"/>
      </w:pPr>
      <w:r>
        <w:rPr>
          <w:rFonts w:ascii="Microsoft YaHei" w:hAnsi="Microsoft YaHei" w:eastAsia="Microsoft YaHei"/>
          <w:sz w:val="22"/>
        </w:rPr>
        <w:t>Pi 5 实验使用 64→32→10 的小型全连接模型验证真实双机流程，不是完整 CIFAR CNN 的精度实验。数据用于分离 CKKS 初始化、网络传输和 MPC ReLU 的成本。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实验项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Pi 冷启动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10.45 ± 0.09 s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每次重新生成密钥和 context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Pi warm-query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1.74-1.97 s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复用同一 CKKS context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Pi MPC ReLU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1.34 s / 32 元素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864 次基础 OT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批量 ReLU 1328 元素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43.28 s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35,856 次 OT，82 条消息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Pi keygen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0.372 s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TenSEAL 0.3.18，aarch64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公共 context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35.95 MB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冷启动一次性上传</w:t>
            </w:r>
          </w:p>
        </w:tc>
      </w:tr>
    </w:tbl>
    <w:p>
      <w:pPr>
        <w:spacing w:after="40"/>
      </w:pPr>
    </w:p>
    <w:p>
      <w:pPr>
        <w:pStyle w:val="Heading1"/>
      </w:pPr>
      <w:r>
        <w:t>5.1 Planner 调度对照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调度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MPC 元素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精度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conv1=P2, conv2=P2, conv3=ReLU, conv4=P2, fc1=P2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4,096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82.87%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实际训练/验证过</w:t>
            </w:r>
          </w:p>
        </w:tc>
      </w:tr>
      <w:tr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全 ReLU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20,736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84.55%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精度上限对照</w:t>
            </w:r>
          </w:p>
        </w:tc>
      </w:tr>
    </w:tbl>
    <w:p>
      <w:pPr>
        <w:spacing w:after="40"/>
      </w:pPr>
    </w:p>
    <w:p>
      <w:pPr>
        <w:spacing w:after="140" w:line="283" w:lineRule="auto"/>
      </w:pPr>
      <w:r>
        <w:rPr>
          <w:rFonts w:ascii="Microsoft YaHei" w:hAnsi="Microsoft YaHei" w:eastAsia="Microsoft YaHei"/>
          <w:sz w:val="22"/>
        </w:rPr>
        <w:t>根据 Pi 上 1328 元素 43.28 s 的实测结果，MPC 成本约为 32.6 ms/元素。按该比例估算，4,096 元素约需 2.2 分钟 MPC，20,736 元素约需 11.3 分钟。这些是 MPC 部分的估算，不是完整 CIFAR 端到端实测。</w:t>
      </w:r>
    </w:p>
    <w:p>
      <w:pPr>
        <w:pStyle w:val="Heading1"/>
      </w:pPr>
      <w:r>
        <w:t>6 数据目录与使用方式</w:t>
      </w:r>
    </w:p>
    <w:p>
      <w:pPr>
        <w:spacing w:after="140" w:line="283" w:lineRule="auto"/>
      </w:pPr>
      <w:r>
        <w:rPr>
          <w:rFonts w:ascii="Microsoft YaHei" w:hAnsi="Microsoft YaHei" w:eastAsia="Microsoft YaHei"/>
          <w:sz w:val="22"/>
        </w:rPr>
        <w:t>整理后的数据根目录：</w:t>
      </w:r>
    </w:p>
    <w:p>
      <w:pPr>
        <w:spacing w:before="60" w:after="140" w:line="252" w:lineRule="auto"/>
        <w:ind w:left="403"/>
      </w:pPr>
      <w:r>
        <w:rPr>
          <w:rFonts w:ascii="Consolas" w:hAnsi="Consolas" w:eastAsia="Consolas"/>
          <w:sz w:val="18"/>
        </w:rPr>
        <w:t>D:\王梓杨\项目组\wzy\datasets_organized</w:t>
      </w:r>
    </w:p>
    <w:p>
      <w:pPr>
        <w:spacing w:before="60" w:after="140" w:line="252" w:lineRule="auto"/>
        <w:ind w:left="403"/>
      </w:pPr>
      <w:r>
        <w:rPr>
          <w:rFonts w:ascii="Consolas" w:hAnsi="Consolas" w:eastAsia="Consolas"/>
          <w:sz w:val="18"/>
        </w:rPr>
        <w:t>datasets_organized/</w:t>
        <w:br/>
        <w:t>├── 01_CIFAR10_彩色图像分类/</w:t>
        <w:br/>
        <w:t>│   ├── cifar-10-batches-py/</w:t>
        <w:br/>
        <w:t>│   └── cifar-10-python.tar.gz</w:t>
        <w:br/>
        <w:t>├── 02_MNIST_手写数字识别/</w:t>
        <w:br/>
        <w:t>│   └── MNIST/</w:t>
        <w:br/>
        <w:t>├── 03_UCI_HAR_人体活动识别/</w:t>
        <w:br/>
        <w:t>│   └── UCI_HAR/</w:t>
        <w:br/>
        <w:t>├── README.md</w:t>
        <w:br/>
        <w:t>└── SHA256SUMS.txt</w:t>
      </w:r>
    </w:p>
    <w:p>
      <w:pPr>
        <w:spacing w:after="140" w:line="283" w:lineRule="auto"/>
      </w:pPr>
      <w:r>
        <w:rPr>
          <w:rFonts w:ascii="Microsoft YaHei" w:hAnsi="Microsoft YaHei" w:eastAsia="Microsoft YaHei"/>
          <w:sz w:val="22"/>
        </w:rPr>
        <w:t>整理目录是原始数据的副本，原始 datasets/ 目录未移动。当前训练脚本仍默认读取项目根目录下的 datasets/；如需切换到整理目录，应将对应子目录链接或复制回原路径。SHA256SUMS.txt 用于文件完整性校验。整理目录总大小约 673.1 MB，共 47 个文件。</w:t>
      </w:r>
    </w:p>
    <w:p>
      <w:pPr>
        <w:pStyle w:val="Heading1"/>
      </w:pPr>
      <w:r>
        <w:t>7 当前边界与后续工作</w:t>
      </w:r>
    </w:p>
    <w:p>
      <w:pPr>
        <w:spacing w:after="140" w:line="283" w:lineRule="auto"/>
      </w:pPr>
      <w:r>
        <w:rPr>
          <w:rFonts w:ascii="Microsoft YaHei" w:hAnsi="Microsoft YaHei" w:eastAsia="Microsoft YaHei"/>
          <w:sz w:val="22"/>
        </w:rPr>
        <w:t>本周已经完成任务包括：CIFAR-10 fast 模型训练与权重导出、Pi 5 真实 CKKS/MPC 双机推理、批量 OT、CKKS context 复用、planner s/p/packing 接口、M1/M3 掩码状态机和严格协议门禁。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严格论文后端仍待迁移到 Python 3.11 + pybind11 C++ + SCI/CrypTFlow2。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当前 Pi 演示使用 N=16384，严格目标仍需更大参数和 128-bit estimator 校核。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M2 逐层激活域统计和安全 MPC argmax 输出档位尚未完成。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完整 CIFAR CNN 的密文端到端精度和耗时尚未完成实测。</w:t>
      </w:r>
    </w:p>
    <w:p>
      <w:pPr>
        <w:spacing w:after="140" w:line="283" w:lineRule="auto"/>
      </w:pPr>
      <w:r>
        <w:rPr>
          <w:rFonts w:ascii="Microsoft YaHei" w:hAnsi="Microsoft YaHei" w:eastAsia="Microsoft YaHei"/>
          <w:sz w:val="22"/>
        </w:rPr>
        <w:t>因此，本文档中的 Pi 数据应标记为 reference-only。它们证明真实双机流程、批量 OT 和 context 复用可运行，但还不能替代最终 C++/SCI 实现结果。</w:t>
      </w:r>
    </w:p>
    <w:sectPr w:rsidR="00FC693F" w:rsidRPr="0006063C" w:rsidSect="00034616">
      <w:footerReference w:type="default" r:id="rId9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46464"/>
        <w:sz w:val="17"/>
      </w:rPr>
      <w:t xml:space="preserve">LitePI 实验数据集与结果汇总    2026-10-24    </w:t>
    </w:r>
    <w:r>
      <w:rPr>
        <w:rFonts w:ascii="Microsoft YaHei" w:hAnsi="Microsoft YaHei" w:eastAsia="Microsoft YaHei"/>
        <w:color w:val="646464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000000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LitePI 实验数据集与结果汇总</dc:title>
  <dc:subject>数据集说明、CIFAR-10 结果与 Raspberry Pi 5 双机实验</dc:subject>
  <dc:creator>王梓杨</dc:creator>
  <cp:keywords>LitePI, CIFAR-10, MNIST, UCI HAR, Raspberry Pi, MPC, CKKS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