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 w14:paraId="50A4B544">
      <w:pPr>
        <w:pStyle w:val="2"/>
      </w:pPr>
      <w:bookmarkStart w:id="0" w:name="X3520769c1431c68a73a0574cfab1974f85bc42c"/>
      <w:r>
        <w:t>LitePI：Low-Interaction Private Inference for Resource-Constrained Edge-IoT Devices</w:t>
      </w:r>
    </w:p>
    <w:p w14:paraId="2AA03195">
      <w:pPr>
        <w:pStyle w:val="4"/>
      </w:pPr>
      <w:bookmarkStart w:id="1" w:name="abstract"/>
      <w:r>
        <w:t>Abstract</w:t>
      </w:r>
    </w:p>
    <w:p w14:paraId="6F4A3088">
      <w:pPr>
        <w:pStyle w:val="23"/>
      </w:pPr>
      <w:r>
        <w:t>当前物联网设备在用户手中持续收集基础数据，例如用户的身体状态、行动轨迹和社交行为等，这些数据都会被收集，然后被发送到边缘云服务器上被当作潜在的用户画像数据基础。为了防止用户隐私在不经意间被泄露，本文提出了一种资源受限边缘 IoT 设备的推理方法。</w:t>
      </w:r>
    </w:p>
    <w:bookmarkEnd w:id="1"/>
    <w:p w14:paraId="5E32CC5F">
      <w:pPr>
        <w:pStyle w:val="4"/>
      </w:pPr>
      <w:bookmarkStart w:id="2" w:name="introduction"/>
      <w:r>
        <w:t>1. Introduction</w:t>
      </w:r>
    </w:p>
    <w:p w14:paraId="0919040E">
      <w:pPr>
        <w:pStyle w:val="5"/>
      </w:pPr>
      <w:bookmarkStart w:id="3" w:name="背景"/>
      <w:r>
        <w:t>1.1 背景</w:t>
      </w:r>
    </w:p>
    <w:p w14:paraId="536D1D26">
      <w:pPr>
        <w:pStyle w:val="24"/>
        <w:numPr>
          <w:ilvl w:val="0"/>
          <w:numId w:val="1"/>
        </w:numPr>
      </w:pPr>
      <w:r>
        <w:t>IoT 设备产生大量敏感数据；</w:t>
      </w:r>
    </w:p>
    <w:p w14:paraId="7F032C12">
      <w:pPr>
        <w:pStyle w:val="24"/>
        <w:numPr>
          <w:ilvl w:val="0"/>
          <w:numId w:val="1"/>
        </w:numPr>
      </w:pPr>
      <w:r>
        <w:t>云端神经网络推理带来隐私风险；</w:t>
      </w:r>
    </w:p>
    <w:p w14:paraId="37E03693">
      <w:pPr>
        <w:pStyle w:val="24"/>
        <w:numPr>
          <w:ilvl w:val="0"/>
          <w:numId w:val="1"/>
        </w:numPr>
      </w:pPr>
      <w:r>
        <w:t>私有推理可以保护输入隐私；</w:t>
      </w:r>
    </w:p>
    <w:p w14:paraId="11D49628">
      <w:pPr>
        <w:pStyle w:val="24"/>
        <w:numPr>
          <w:ilvl w:val="0"/>
          <w:numId w:val="1"/>
        </w:numPr>
      </w:pPr>
      <w:r>
        <w:t>但现有方法对资源受限客户端不够友好。</w:t>
      </w:r>
    </w:p>
    <w:bookmarkEnd w:id="3"/>
    <w:p w14:paraId="1D35CFC4">
      <w:pPr>
        <w:pStyle w:val="5"/>
      </w:pPr>
      <w:bookmarkStart w:id="4" w:name="场景叙事v2-重写手表网关叙事替代原智能手表叙事"/>
      <w:r>
        <w:t>1.1.1 场景叙事（v2 重写：手表→网关叙事，替代原智能手表叙事）</w:t>
      </w:r>
    </w:p>
    <w:p w14:paraId="1E31A851">
      <w:pPr>
        <w:pStyle w:val="23"/>
      </w:pPr>
      <w:r>
        <w:rPr>
          <w:b/>
          <w:bCs/>
        </w:rPr>
        <w:t>原叙事问题</w:t>
      </w:r>
      <w:r>
        <w:t>：智能手表本身通过蓝牙与手机连接，手机才是第一时间接收数据的设备，“手表直连云端”的叙事经不起审稿人推敲。</w:t>
      </w:r>
    </w:p>
    <w:p w14:paraId="1C97B1D6">
      <w:pPr>
        <w:pStyle w:val="3"/>
      </w:pPr>
      <w:r>
        <w:rPr>
          <w:b/>
          <w:bCs/>
        </w:rPr>
        <w:t>新叙事（推荐主场景：ECG 医疗监测）</w:t>
      </w:r>
      <w:r>
        <w:t>：</w:t>
      </w:r>
    </w:p>
    <w:p w14:paraId="765ACFD2">
      <w:pPr>
        <w:pStyle w:val="3"/>
      </w:pPr>
      <w:r>
        <w:t xml:space="preserve">可穿戴 ECG 监测贴片持续采集用户心电信号，经蓝牙/低功耗协议传至用户手机（即 LitePI 中的 </w:t>
      </w:r>
      <w:r>
        <w:rPr>
          <w:b/>
          <w:bCs/>
        </w:rPr>
        <w:t>client</w:t>
      </w:r>
      <w:r>
        <w:t>）。手机作为家庭网关级设备，算力弱于服务器但具备联网能力，需将 ECG 数据上传云端由医疗机构部署的神经网络完成心律失常分类。ECG 波形直接反映用户心脏健康状况，属于高度敏感的医疗隐私数据：云端推理服务商可以从中推断用户的潜在疾病，因此</w:t>
      </w:r>
      <w:r>
        <w:rPr>
          <w:b/>
          <w:bCs/>
        </w:rPr>
        <w:t>不能以明文形式上传</w:t>
      </w:r>
      <w:r>
        <w:t>。</w:t>
      </w:r>
    </w:p>
    <w:p w14:paraId="6A6207A2">
      <w:pPr>
        <w:pStyle w:val="3"/>
      </w:pPr>
      <w:r>
        <w:t>这一叙事的三个优点：</w:t>
      </w:r>
    </w:p>
    <w:p w14:paraId="092050E9">
      <w:pPr>
        <w:pStyle w:val="24"/>
        <w:numPr>
          <w:ilvl w:val="0"/>
          <w:numId w:val="2"/>
        </w:numPr>
      </w:pPr>
      <w:r>
        <w:rPr>
          <w:b/>
          <w:bCs/>
        </w:rPr>
        <w:t>客户端定位准确</w:t>
      </w:r>
      <w:r>
        <w:t>：client 是手机/家庭网关/可穿戴网关级设备（数百 MHz~数 GHz ARM、百 MB 级内存），而非毫瓦级 MCU——与实验中 Raspberry Pi 类设备的能力档次一致，审稿人无法质疑”该设备根本跑不动加密”或”该设备明明有算力”；</w:t>
      </w:r>
    </w:p>
    <w:p w14:paraId="5DC61C15">
      <w:pPr>
        <w:pStyle w:val="24"/>
        <w:numPr>
          <w:ilvl w:val="0"/>
          <w:numId w:val="2"/>
        </w:numPr>
      </w:pPr>
      <w:r>
        <w:rPr>
          <w:b/>
          <w:bCs/>
        </w:rPr>
        <w:t>传感器与计算端解耦</w:t>
      </w:r>
      <w:r>
        <w:t>：贴片/手表等传感设备只负责采集与蓝牙传输，不参与任何密码计算，规避了”手表先连手机”的逻辑漏洞；</w:t>
      </w:r>
    </w:p>
    <w:p w14:paraId="2FCA50C0">
      <w:pPr>
        <w:pStyle w:val="24"/>
        <w:numPr>
          <w:ilvl w:val="0"/>
          <w:numId w:val="2"/>
        </w:numPr>
      </w:pPr>
      <w:r>
        <w:rPr>
          <w:b/>
          <w:bCs/>
        </w:rPr>
        <w:t>与实验闭环</w:t>
      </w:r>
      <w:r>
        <w:t>：MIT-BIH / PTB-XL 的 ECG 分类实验正是该场景的直接落地，Intro 场景与 Evaluation 任务一一对应。</w:t>
      </w:r>
    </w:p>
    <w:p w14:paraId="03E0B2DC">
      <w:pPr>
        <w:pStyle w:val="23"/>
      </w:pPr>
      <w:r>
        <w:t>上述数据若明文上传云端，服务商可在用户不知情的情况下进行用户画像、二次分析与数据转售；即使采用 TLS 等传输层保护，云端仍以明文形式持有数据，隐私风险依然存在。</w:t>
      </w:r>
    </w:p>
    <w:bookmarkEnd w:id="4"/>
    <w:p w14:paraId="6A509E1A">
      <w:pPr>
        <w:pStyle w:val="5"/>
      </w:pPr>
      <w:bookmarkStart w:id="5" w:name="挑战"/>
      <w:r>
        <w:t>1.2 挑战</w:t>
      </w:r>
    </w:p>
    <w:p w14:paraId="74ABF411">
      <w:pPr>
        <w:pStyle w:val="24"/>
        <w:numPr>
          <w:ilvl w:val="0"/>
          <w:numId w:val="3"/>
        </w:numPr>
      </w:pPr>
      <w:r>
        <w:t>客户端计算能力弱– 客观；</w:t>
      </w:r>
    </w:p>
    <w:p w14:paraId="6002A36C">
      <w:pPr>
        <w:pStyle w:val="24"/>
        <w:numPr>
          <w:ilvl w:val="0"/>
          <w:numId w:val="3"/>
        </w:numPr>
      </w:pPr>
      <w:r>
        <w:t>客户端内存有限；</w:t>
      </w:r>
    </w:p>
    <w:p w14:paraId="57899975">
      <w:pPr>
        <w:pStyle w:val="24"/>
        <w:numPr>
          <w:ilvl w:val="0"/>
          <w:numId w:val="3"/>
        </w:numPr>
      </w:pPr>
      <w:r>
        <w:t>网络 RTT 高；</w:t>
      </w:r>
    </w:p>
    <w:p w14:paraId="48A45290">
      <w:pPr>
        <w:pStyle w:val="24"/>
        <w:numPr>
          <w:ilvl w:val="0"/>
          <w:numId w:val="3"/>
        </w:numPr>
      </w:pPr>
      <w:r>
        <w:t>非线性层导致交互增加；</w:t>
      </w:r>
    </w:p>
    <w:p w14:paraId="38964995">
      <w:pPr>
        <w:pStyle w:val="24"/>
        <w:numPr>
          <w:ilvl w:val="0"/>
          <w:numId w:val="3"/>
        </w:numPr>
      </w:pPr>
      <w:r>
        <w:t>精度与低交互存在冲突；</w:t>
      </w:r>
    </w:p>
    <w:p w14:paraId="7EF48499">
      <w:pPr>
        <w:pStyle w:val="24"/>
        <w:numPr>
          <w:ilvl w:val="0"/>
          <w:numId w:val="3"/>
        </w:numPr>
      </w:pPr>
      <w:r>
        <w:t>一种固定协议难以适配不同设备和网络。</w:t>
      </w:r>
    </w:p>
    <w:bookmarkEnd w:id="5"/>
    <w:p w14:paraId="01721F5B">
      <w:pPr>
        <w:pStyle w:val="5"/>
      </w:pPr>
      <w:bookmarkStart w:id="6" w:name="本文思想"/>
      <w:r>
        <w:t>1.3 本文思想</w:t>
      </w:r>
    </w:p>
    <w:p w14:paraId="23CA0276">
      <w:pPr>
        <w:pStyle w:val="23"/>
      </w:pPr>
      <w:r>
        <w:t>提出 LitePI：</w:t>
      </w:r>
    </w:p>
    <w:p w14:paraId="24C173FE">
      <w:pPr>
        <w:pStyle w:val="24"/>
        <w:numPr>
          <w:ilvl w:val="0"/>
          <w:numId w:val="1"/>
        </w:numPr>
      </w:pPr>
      <w:r>
        <w:t>客户端只做一次编码、一次加密、一次上传和一次解密；</w:t>
      </w:r>
    </w:p>
    <w:p w14:paraId="6EFDC2AA">
      <w:pPr>
        <w:pStyle w:val="24"/>
        <w:numPr>
          <w:ilvl w:val="0"/>
          <w:numId w:val="1"/>
        </w:numPr>
      </w:pPr>
      <w:r>
        <w:t>HE-only 模式降低交互；</w:t>
      </w:r>
    </w:p>
    <w:p w14:paraId="7283B368">
      <w:pPr>
        <w:pStyle w:val="24"/>
        <w:numPr>
          <w:ilvl w:val="0"/>
          <w:numId w:val="1"/>
        </w:numPr>
      </w:pPr>
      <w:r>
        <w:t>HE-MPC 模式提升精度；</w:t>
      </w:r>
    </w:p>
    <w:p w14:paraId="27F7835A">
      <w:pPr>
        <w:pStyle w:val="24"/>
        <w:numPr>
          <w:ilvl w:val="0"/>
          <w:numId w:val="1"/>
        </w:numPr>
      </w:pPr>
      <w:r>
        <w:t>planner 根据资源自动选择模式；</w:t>
      </w:r>
    </w:p>
    <w:p w14:paraId="0D799512">
      <w:pPr>
        <w:pStyle w:val="24"/>
        <w:numPr>
          <w:ilvl w:val="0"/>
          <w:numId w:val="1"/>
        </w:numPr>
      </w:pPr>
      <w:r>
        <w:t>面向 IoT 任务部署验证。</w:t>
      </w:r>
    </w:p>
    <w:bookmarkEnd w:id="6"/>
    <w:p w14:paraId="0B290F0B">
      <w:pPr>
        <w:pStyle w:val="5"/>
      </w:pPr>
      <w:bookmarkStart w:id="7" w:name="contributions"/>
      <w:r>
        <w:t>1.4 Contributions</w:t>
      </w:r>
    </w:p>
    <w:p w14:paraId="732CACF7">
      <w:pPr>
        <w:pStyle w:val="23"/>
      </w:pPr>
      <w:r>
        <w:t>【待补：4 条贡献】</w:t>
      </w:r>
    </w:p>
    <w:bookmarkEnd w:id="2"/>
    <w:bookmarkEnd w:id="7"/>
    <w:p w14:paraId="20A2EF4C">
      <w:pPr>
        <w:pStyle w:val="4"/>
      </w:pPr>
      <w:bookmarkStart w:id="8" w:name="background-and-related-work"/>
      <w:r>
        <w:t>2. Background and Related Work</w:t>
      </w:r>
    </w:p>
    <w:p w14:paraId="5193D69B">
      <w:pPr>
        <w:pStyle w:val="5"/>
      </w:pPr>
      <w:bookmarkStart w:id="9" w:name="private-neural-network-inference"/>
      <w:r>
        <w:t>2.1 Private Neural Network Inference</w:t>
      </w:r>
    </w:p>
    <w:p w14:paraId="0639F917">
      <w:pPr>
        <w:pStyle w:val="23"/>
      </w:pPr>
      <w:r>
        <w:t>介绍：</w:t>
      </w:r>
    </w:p>
    <w:p w14:paraId="23CBBC7C">
      <w:pPr>
        <w:pStyle w:val="24"/>
        <w:numPr>
          <w:ilvl w:val="0"/>
          <w:numId w:val="1"/>
        </w:numPr>
      </w:pPr>
      <w:r>
        <w:t>HE-based inference；</w:t>
      </w:r>
    </w:p>
    <w:p w14:paraId="0663C922">
      <w:pPr>
        <w:pStyle w:val="24"/>
        <w:numPr>
          <w:ilvl w:val="0"/>
          <w:numId w:val="1"/>
        </w:numPr>
      </w:pPr>
      <w:r>
        <w:t>MPC-based inference；</w:t>
      </w:r>
    </w:p>
    <w:p w14:paraId="5C0313C8">
      <w:pPr>
        <w:pStyle w:val="24"/>
        <w:numPr>
          <w:ilvl w:val="0"/>
          <w:numId w:val="1"/>
        </w:numPr>
      </w:pPr>
      <w:r>
        <w:t>hybrid HE-MPC inference；</w:t>
      </w:r>
    </w:p>
    <w:p w14:paraId="449580BA">
      <w:pPr>
        <w:pStyle w:val="24"/>
        <w:numPr>
          <w:ilvl w:val="0"/>
          <w:numId w:val="1"/>
        </w:numPr>
      </w:pPr>
      <w:r>
        <w:t>Delphi/GAZELLE 类方法。</w:t>
      </w:r>
    </w:p>
    <w:bookmarkEnd w:id="9"/>
    <w:p w14:paraId="3564C6F4">
      <w:pPr>
        <w:pStyle w:val="5"/>
      </w:pPr>
      <w:bookmarkStart w:id="10" w:name="homomorphic-encryption"/>
      <w:r>
        <w:t>2.2 Homomorphic Encryption</w:t>
      </w:r>
    </w:p>
    <w:p w14:paraId="0E12C283">
      <w:pPr>
        <w:pStyle w:val="23"/>
      </w:pPr>
      <w:r>
        <w:t>介绍：</w:t>
      </w:r>
    </w:p>
    <w:p w14:paraId="75EE01E3">
      <w:pPr>
        <w:pStyle w:val="24"/>
        <w:numPr>
          <w:ilvl w:val="0"/>
          <w:numId w:val="1"/>
        </w:numPr>
      </w:pPr>
      <w:r>
        <w:t>CKKS/BFV；</w:t>
      </w:r>
    </w:p>
    <w:p w14:paraId="0EDE7FA5">
      <w:pPr>
        <w:pStyle w:val="24"/>
        <w:numPr>
          <w:ilvl w:val="0"/>
          <w:numId w:val="1"/>
        </w:numPr>
      </w:pPr>
      <w:r>
        <w:t>ciphertext packing；</w:t>
      </w:r>
    </w:p>
    <w:p w14:paraId="0F1B87FA">
      <w:pPr>
        <w:pStyle w:val="24"/>
        <w:numPr>
          <w:ilvl w:val="0"/>
          <w:numId w:val="1"/>
        </w:numPr>
      </w:pPr>
      <w:r>
        <w:t>rotation；</w:t>
      </w:r>
    </w:p>
    <w:p w14:paraId="3800D2B6">
      <w:pPr>
        <w:pStyle w:val="24"/>
        <w:numPr>
          <w:ilvl w:val="0"/>
          <w:numId w:val="1"/>
        </w:numPr>
      </w:pPr>
      <w:r>
        <w:t>relinearization；</w:t>
      </w:r>
    </w:p>
    <w:p w14:paraId="39C9D037">
      <w:pPr>
        <w:pStyle w:val="24"/>
        <w:numPr>
          <w:ilvl w:val="0"/>
          <w:numId w:val="1"/>
        </w:numPr>
      </w:pPr>
      <w:r>
        <w:t>multiplicative depth。</w:t>
      </w:r>
    </w:p>
    <w:bookmarkEnd w:id="10"/>
    <w:p w14:paraId="7BD279CF">
      <w:pPr>
        <w:pStyle w:val="5"/>
      </w:pPr>
      <w:bookmarkStart w:id="11" w:name="nonlinear-evaluation"/>
      <w:r>
        <w:t>2.3 Nonlinear Evaluation</w:t>
      </w:r>
    </w:p>
    <w:p w14:paraId="40B8FDB8">
      <w:pPr>
        <w:pStyle w:val="23"/>
      </w:pPr>
      <w:r>
        <w:t>介绍：</w:t>
      </w:r>
    </w:p>
    <w:p w14:paraId="1675BE4C">
      <w:pPr>
        <w:pStyle w:val="24"/>
        <w:numPr>
          <w:ilvl w:val="0"/>
          <w:numId w:val="1"/>
        </w:numPr>
      </w:pPr>
      <w:r>
        <w:t>polynomial approximation；</w:t>
      </w:r>
    </w:p>
    <w:p w14:paraId="6EA2AE4E">
      <w:pPr>
        <w:pStyle w:val="24"/>
        <w:numPr>
          <w:ilvl w:val="0"/>
          <w:numId w:val="1"/>
        </w:numPr>
      </w:pPr>
      <w:r>
        <w:t>ReLU via MPC：加性秘密共享 + silent OT/VOLE（CrypTFlow2/Cheetah 路线，本文主线）与 GC（Delphi 系路线，作为对比）；</w:t>
      </w:r>
    </w:p>
    <w:p w14:paraId="2D6DF47B">
      <w:pPr>
        <w:pStyle w:val="24"/>
        <w:numPr>
          <w:ilvl w:val="0"/>
          <w:numId w:val="1"/>
        </w:numPr>
      </w:pPr>
      <w:r>
        <w:t>HE-MPC conversion。</w:t>
      </w:r>
    </w:p>
    <w:bookmarkEnd w:id="11"/>
    <w:p w14:paraId="4D5D5F2C">
      <w:pPr>
        <w:pStyle w:val="5"/>
      </w:pPr>
      <w:bookmarkStart w:id="12" w:name="resource-constrained-iot-inference"/>
      <w:r>
        <w:t>2.4 Resource-Constrained IoT Inference</w:t>
      </w:r>
    </w:p>
    <w:p w14:paraId="27F96DAF">
      <w:pPr>
        <w:pStyle w:val="23"/>
      </w:pPr>
      <w:r>
        <w:t>介绍：</w:t>
      </w:r>
    </w:p>
    <w:p w14:paraId="21685231">
      <w:pPr>
        <w:pStyle w:val="24"/>
        <w:numPr>
          <w:ilvl w:val="0"/>
          <w:numId w:val="1"/>
        </w:numPr>
      </w:pPr>
      <w:r>
        <w:t>客户端资源限制；</w:t>
      </w:r>
    </w:p>
    <w:p w14:paraId="48DFB63F">
      <w:pPr>
        <w:pStyle w:val="24"/>
        <w:numPr>
          <w:ilvl w:val="0"/>
          <w:numId w:val="1"/>
        </w:numPr>
      </w:pPr>
      <w:r>
        <w:t>网络限制；</w:t>
      </w:r>
    </w:p>
    <w:p w14:paraId="337894F7">
      <w:pPr>
        <w:pStyle w:val="24"/>
        <w:numPr>
          <w:ilvl w:val="0"/>
          <w:numId w:val="1"/>
        </w:numPr>
      </w:pPr>
      <w:r>
        <w:t>能耗限制；</w:t>
      </w:r>
    </w:p>
    <w:p w14:paraId="1EBF7CD8">
      <w:pPr>
        <w:pStyle w:val="24"/>
        <w:numPr>
          <w:ilvl w:val="0"/>
          <w:numId w:val="1"/>
        </w:numPr>
      </w:pPr>
      <w:r>
        <w:t>端侧隐私推理需求。</w:t>
      </w:r>
    </w:p>
    <w:bookmarkEnd w:id="8"/>
    <w:bookmarkEnd w:id="12"/>
    <w:p w14:paraId="677E6634">
      <w:pPr>
        <w:pStyle w:val="4"/>
      </w:pPr>
      <w:bookmarkStart w:id="13" w:name="threat-model"/>
      <w:r>
        <w:t>3. Threat Model</w:t>
      </w:r>
    </w:p>
    <w:p w14:paraId="491EBAEB">
      <w:pPr>
        <w:pStyle w:val="23"/>
      </w:pPr>
      <w:r>
        <w:t>半诚实模型（semi-honest / honest-but-curious）：</w:t>
      </w:r>
    </w:p>
    <w:p w14:paraId="0526909E">
      <w:pPr>
        <w:pStyle w:val="24"/>
        <w:numPr>
          <w:ilvl w:val="0"/>
          <w:numId w:val="4"/>
        </w:numPr>
      </w:pPr>
      <w:r>
        <w:rPr>
          <w:b/>
          <w:bCs/>
        </w:rPr>
        <w:t>服务器</w:t>
      </w:r>
      <w:r>
        <w:t xml:space="preserve">：忠实执行协议，但尝试从接收到的全部消息（密文、掩码后的共享值、MPC 消息）中推断客户端输入 </w:t>
      </w:r>
      <m:oMath>
        <m:r>
          <m:rPr/>
          <m:t>x</m:t>
        </m:r>
      </m:oMath>
      <w:r>
        <w:t xml:space="preserve"> 与中间激活；</w:t>
      </w:r>
    </w:p>
    <w:p w14:paraId="41B984B9">
      <w:pPr>
        <w:pStyle w:val="24"/>
        <w:numPr>
          <w:ilvl w:val="0"/>
          <w:numId w:val="4"/>
        </w:numPr>
      </w:pPr>
      <w:r>
        <w:rPr>
          <w:b/>
          <w:bCs/>
        </w:rPr>
        <w:t>客户端</w:t>
      </w:r>
      <w:r>
        <w:t xml:space="preserve">：忠实执行协议，但尝试从协议交互中推断模型参数 </w:t>
      </w:r>
      <m:oMath>
        <m:r>
          <m:rPr/>
          <m:t>θ</m:t>
        </m:r>
      </m:oMath>
      <w:r>
        <w:t>。</w:t>
      </w:r>
    </w:p>
    <w:p w14:paraId="5AC54EB3">
      <w:pPr>
        <w:pStyle w:val="23"/>
      </w:pPr>
      <w:r>
        <w:rPr>
          <w:b/>
          <w:bCs/>
        </w:rPr>
        <w:t>架构定位（重要，写作时必须明确）</w:t>
      </w:r>
      <w:r>
        <w:t>：LitePI 采用</w:t>
      </w:r>
      <w:r>
        <w:rPr>
          <w:b/>
          <w:bCs/>
        </w:rPr>
        <w:t>单一服务器</w:t>
      </w:r>
      <w:r>
        <w:t>模型。此前部分工作（如基于两方秘密分享的系统）采用</w:t>
      </w:r>
      <w:r>
        <w:rPr>
          <w:b/>
          <w:bCs/>
        </w:rPr>
        <w:t>非共谋双服务器</w:t>
      </w:r>
      <w:r>
        <w:t>假设，将非线性计算拆分给两个服务器以减少客户端参与；LitePI 与之不同：不引入第二个可信假设方，客户端直接与唯一服务器交互，从而适配”用户—云服务商”的真实部署形态。代价是客户端需要参与少量轻量交互（hybrid 模式下的掩码运算），这正是本文 client-light 设计所优化的目标。</w:t>
      </w:r>
    </w:p>
    <w:p w14:paraId="021883F5">
      <w:pPr>
        <w:pStyle w:val="3"/>
      </w:pPr>
      <w:r>
        <w:rPr>
          <w:b/>
          <w:bCs/>
        </w:rPr>
        <w:t>多查询假设</w:t>
      </w:r>
      <w:r>
        <w:t>：IoT client 在生命周期内会对同一模型发起多次（可能高频的）推理查询，如 ECG 贴片按分钟级周期上传。因此安全性分析必须覆盖</w:t>
      </w:r>
      <w:r>
        <w:rPr>
          <w:b/>
          <w:bCs/>
        </w:rPr>
        <w:t>多查询场景</w:t>
      </w:r>
      <w:r>
        <w:t>：单个查询下安全的掩码机制，若跨查询复用随机掩码则可能泄露统计相关性（详见 Section 6.2）。</w:t>
      </w:r>
    </w:p>
    <w:p w14:paraId="7DE6C3DD">
      <w:pPr>
        <w:pStyle w:val="3"/>
      </w:pPr>
      <w:r>
        <w:rPr>
          <w:b/>
          <w:bCs/>
        </w:rPr>
        <w:t>明确不在范围内</w:t>
      </w:r>
      <w:r>
        <w:t>：恶意安全（服务器主动偏离协议）、输入侧攻击、模型窃取攻击——在 Discussion 中诚实声明，并作为 future work。</w:t>
      </w:r>
    </w:p>
    <w:bookmarkEnd w:id="13"/>
    <w:p w14:paraId="2068FDF3">
      <w:pPr>
        <w:pStyle w:val="4"/>
      </w:pPr>
      <w:bookmarkStart w:id="14" w:name="litepi-design"/>
      <w:r>
        <w:t>4. LitePI Design</w:t>
      </w:r>
    </w:p>
    <w:p w14:paraId="5FF0ECE8">
      <w:pPr>
        <w:pStyle w:val="5"/>
      </w:pPr>
      <w:bookmarkStart w:id="15" w:name="system-model"/>
      <w:r>
        <w:t>4.1 System Model</w:t>
      </w:r>
    </w:p>
    <w:p w14:paraId="02FE656F">
      <w:pPr>
        <w:pStyle w:val="23"/>
      </w:pPr>
      <w:r>
        <w:t>LitePI 可以设计为一个三阶段协议：</w:t>
      </w:r>
    </w:p>
    <w:p w14:paraId="2FE7B0CE">
      <w:pPr>
        <w:pStyle w:val="24"/>
        <w:numPr>
          <w:ilvl w:val="0"/>
          <w:numId w:val="5"/>
        </w:numPr>
      </w:pPr>
      <w:r>
        <w:rPr>
          <w:b/>
          <w:bCs/>
        </w:rPr>
        <w:t>离线准备阶段 Offline Preparation</w:t>
      </w:r>
    </w:p>
    <w:p w14:paraId="7FD163EF">
      <w:pPr>
        <w:pStyle w:val="24"/>
        <w:numPr>
          <w:ilvl w:val="0"/>
          <w:numId w:val="5"/>
        </w:numPr>
      </w:pPr>
      <w:r>
        <w:rPr>
          <w:b/>
          <w:bCs/>
        </w:rPr>
        <w:t>在线低交互推理阶段 Online Low-Interaction Inference</w:t>
      </w:r>
    </w:p>
    <w:p w14:paraId="4BD0EA6B">
      <w:pPr>
        <w:pStyle w:val="24"/>
        <w:numPr>
          <w:ilvl w:val="0"/>
          <w:numId w:val="5"/>
        </w:numPr>
      </w:pPr>
      <w:r>
        <w:rPr>
          <w:b/>
          <w:bCs/>
        </w:rPr>
        <w:t>资源感知自适应选择阶段 Resource-Aware Planning</w:t>
      </w:r>
    </w:p>
    <w:p w14:paraId="6C35834C">
      <w:pPr>
        <w:pStyle w:val="13"/>
      </w:pPr>
      <w:r>
        <w:rPr>
          <w:b/>
          <w:bCs/>
        </w:rPr>
        <w:t>【插图占位：架构图.png —— 需手动插入图片】</w:t>
      </w:r>
    </w:p>
    <w:p w14:paraId="02A54795">
      <w:pPr>
        <w:pStyle w:val="23"/>
      </w:pPr>
      <w:r>
        <w:rPr>
          <w:b/>
          <w:bCs/>
        </w:rPr>
        <w:t>与双服务器方案的对比（Related Work / Overview 中需各占一段）</w:t>
      </w:r>
      <w:r>
        <w:t>：早期部分系统依赖非共谋双服务器假设（如两方秘密分享系），将非线性层拆分给两个独立服务器执行，客户端全程离线。该假设在云服务市场高度集中的现实下难以成立——用户往往只能选择单一服务商。LitePI 的单服务器架构消除了这一信任假设，代价是客户端需参与轻量掩码交互，本文通过 client-light 协议设计将此代价压至最低（hybrid 模式下客户端每层仅做一次解密与一次加法）。这一”信任假设弱化 vs 客户端开销”的权衡本身即是叙事亮点。</w:t>
      </w:r>
    </w:p>
    <w:bookmarkEnd w:id="15"/>
    <w:p w14:paraId="30DCB07F">
      <w:pPr>
        <w:pStyle w:val="5"/>
      </w:pPr>
      <w:bookmarkStart w:id="16" w:name="client-light-protocol"/>
      <w:r>
        <w:t>4.2 Client-Light Protocol</w:t>
      </w:r>
    </w:p>
    <w:p w14:paraId="4B54EA6C">
      <w:pPr>
        <w:pStyle w:val="23"/>
      </w:pPr>
      <w:r>
        <w:t>描述客户端只做编码、加密、上传、解密。</w:t>
      </w:r>
    </w:p>
    <w:p w14:paraId="3771BEEB">
      <w:pPr>
        <w:pStyle w:val="3"/>
      </w:pPr>
      <w:r>
        <w:rPr>
          <w:b/>
          <w:bCs/>
        </w:rPr>
        <w:t>输出最小化增强（低成本加分点）</w:t>
      </w:r>
      <w:r>
        <w:t xml:space="preserve">：默认设计中客户端解密整个 logits 向量后本地 argmax，这暴露了全部类别得分（对手可从分数分布推断置信度等额外信息）。可选增强：服务器在密文上使用比较方法（如 Cheon et al. 的近似比较算法）计算 argmax 索引，客户端仅解密 </w:t>
      </w:r>
      <m:oMath>
        <m:r>
          <m:rPr>
            <m:sty m:val="p"/>
          </m:rPr>
          <m:t>⌈</m:t>
        </m:r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2</m:t>
            </m:r>
          </m:sub>
        </m:sSub>
        <m:r>
          <m:rPr/>
          <m:t>C</m:t>
        </m:r>
        <m:r>
          <m:rPr>
            <m:sty m:val="p"/>
          </m:rPr>
          <m:t>⌉</m:t>
        </m:r>
      </m:oMath>
      <w:r>
        <w:t xml:space="preserve"> bit 的类别索引（</w:t>
      </w:r>
      <m:oMath>
        <m:r>
          <m:rPr/>
          <m:t>C</m:t>
        </m:r>
      </m:oMath>
      <w:r>
        <w:t xml:space="preserve"> 为类别数），同时压缩了下行通信量。该选项同时改善</w:t>
      </w:r>
      <w:r>
        <w:rPr>
          <w:b/>
          <w:bCs/>
        </w:rPr>
        <w:t>输出泄漏</w:t>
      </w:r>
      <w:r>
        <w:t>与</w:t>
      </w:r>
      <w:r>
        <w:rPr>
          <w:b/>
          <w:bCs/>
        </w:rPr>
        <w:t>解密开销</w:t>
      </w:r>
      <w:r>
        <w:t>，在医疗场景（类别即诊断结论，分数分布更敏感）尤其有价值。可作为实现中的一个开关，并在 Evaluation 中报告两档结果。</w:t>
      </w:r>
    </w:p>
    <w:bookmarkEnd w:id="16"/>
    <w:p w14:paraId="4A2D3EA0">
      <w:pPr>
        <w:pStyle w:val="5"/>
      </w:pPr>
      <w:bookmarkStart w:id="17" w:name="offline-linear-preprocessing"/>
      <w:r>
        <w:t>4.3 Offline Linear Preprocessing</w:t>
      </w:r>
    </w:p>
    <w:p w14:paraId="6EAF2E01">
      <w:pPr>
        <w:pStyle w:val="23"/>
      </w:pPr>
      <w:r>
        <w:t>描述权重编码、packing、rotation plan、layer fusion。</w:t>
      </w:r>
    </w:p>
    <w:bookmarkEnd w:id="17"/>
    <w:p w14:paraId="498D99CF">
      <w:pPr>
        <w:pStyle w:val="5"/>
      </w:pPr>
      <w:bookmarkStart w:id="18" w:name="he-only-nonlinear-evaluation"/>
      <w:r>
        <w:t>4.4 HE-only Nonlinear Evaluation</w:t>
      </w:r>
    </w:p>
    <w:p w14:paraId="07FCB758">
      <w:pPr>
        <w:pStyle w:val="23"/>
      </w:pPr>
      <w:r>
        <w:t>描述低阶多项式激活。</w:t>
      </w:r>
    </w:p>
    <w:bookmarkEnd w:id="18"/>
    <w:p w14:paraId="6C1312BE">
      <w:pPr>
        <w:pStyle w:val="5"/>
      </w:pPr>
      <w:bookmarkStart w:id="19" w:name="he-mpc-hybrid-nonlinear-evaluation"/>
      <w:r>
        <w:t>4.5 HE-MPC Hybrid Nonlinear Evaluation</w:t>
      </w:r>
    </w:p>
    <w:p w14:paraId="421AC257">
      <w:pPr>
        <w:pStyle w:val="23"/>
      </w:pPr>
      <w:r>
        <w:t>描述 HE-to-share、MPC ReLU、share-to-HE。</w:t>
      </w:r>
    </w:p>
    <w:bookmarkEnd w:id="19"/>
    <w:p w14:paraId="44B35B5A">
      <w:pPr>
        <w:pStyle w:val="5"/>
      </w:pPr>
      <w:bookmarkStart w:id="20" w:name="adaptive-mode-selection"/>
      <w:r>
        <w:t>4.6 Adaptive Mode Selection</w:t>
      </w:r>
    </w:p>
    <w:p w14:paraId="633E9B04">
      <w:pPr>
        <w:pStyle w:val="23"/>
      </w:pPr>
      <w:r>
        <w:t>描述 planner 如何选择每层模式。</w:t>
      </w:r>
    </w:p>
    <w:bookmarkEnd w:id="14"/>
    <w:bookmarkEnd w:id="20"/>
    <w:p w14:paraId="03F0C6A7">
      <w:pPr>
        <w:pStyle w:val="4"/>
      </w:pPr>
      <w:bookmarkStart w:id="21" w:name="resource-aware-planner"/>
      <w:r>
        <w:t>5. Resource-Aware Planner</w:t>
      </w:r>
    </w:p>
    <w:p w14:paraId="3877A972">
      <w:pPr>
        <w:pStyle w:val="5"/>
      </w:pPr>
      <w:bookmarkStart w:id="22" w:name="input-and-output"/>
      <w:r>
        <w:t>5.1 Input and Output</w:t>
      </w:r>
    </w:p>
    <w:p w14:paraId="102772CD">
      <w:pPr>
        <w:pStyle w:val="23"/>
      </w:pPr>
      <w:r>
        <w:t>输入设备 profile、网络 profile、精度约束等。</w:t>
      </w:r>
    </w:p>
    <w:bookmarkEnd w:id="22"/>
    <w:p w14:paraId="09D01A5F">
      <w:pPr>
        <w:pStyle w:val="5"/>
      </w:pPr>
      <w:bookmarkStart w:id="23" w:name="layer-wise-cost-estimation"/>
      <w:r>
        <w:t>5.2 Layer-wise Cost Estimation</w:t>
      </w:r>
    </w:p>
    <w:p w14:paraId="6D0D2203">
      <w:pPr>
        <w:pStyle w:val="23"/>
      </w:pPr>
      <w:r>
        <w:t>估计每层线性和非线性成本。</w:t>
      </w:r>
    </w:p>
    <w:bookmarkEnd w:id="23"/>
    <w:p w14:paraId="749DC202">
      <w:pPr>
        <w:pStyle w:val="5"/>
      </w:pPr>
      <w:bookmarkStart w:id="24" w:name="accuracy-sensitivity-estimation"/>
      <w:r>
        <w:t>5.3 Accuracy Sensitivity Estimation</w:t>
      </w:r>
    </w:p>
    <w:p w14:paraId="77CC7025">
      <w:pPr>
        <w:pStyle w:val="23"/>
      </w:pPr>
      <w:r>
        <w:t>估计不同非线性替换对精度的影响。</w:t>
      </w:r>
    </w:p>
    <w:bookmarkEnd w:id="24"/>
    <w:p w14:paraId="305D82EF">
      <w:pPr>
        <w:pStyle w:val="5"/>
      </w:pPr>
      <w:bookmarkStart w:id="25" w:name="optimization-algorithm"/>
      <w:r>
        <w:t>5.4 Optimization Algorithm</w:t>
      </w:r>
    </w:p>
    <w:p w14:paraId="36ED9844">
      <w:pPr>
        <w:pStyle w:val="23"/>
      </w:pPr>
      <w:r>
        <w:t>给出 rule-based、greedy 或 constrained search。</w:t>
      </w:r>
    </w:p>
    <w:bookmarkEnd w:id="25"/>
    <w:p w14:paraId="103FF726">
      <w:pPr>
        <w:pStyle w:val="5"/>
      </w:pPr>
      <w:bookmarkStart w:id="26" w:name="complexity-analysis"/>
      <w:r>
        <w:t>5.5 Complexity Analysis</w:t>
      </w:r>
    </w:p>
    <w:p w14:paraId="198B7485">
      <w:pPr>
        <w:pStyle w:val="23"/>
      </w:pPr>
      <w:r>
        <w:t>分析 planner 搜索复杂度。</w:t>
      </w:r>
    </w:p>
    <w:bookmarkEnd w:id="21"/>
    <w:bookmarkEnd w:id="26"/>
    <w:p w14:paraId="4B97A011">
      <w:pPr>
        <w:pStyle w:val="4"/>
      </w:pPr>
      <w:bookmarkStart w:id="27" w:name="security-analysis"/>
      <w:r>
        <w:t>6. Security Analysis</w:t>
      </w:r>
    </w:p>
    <w:p w14:paraId="4172C957">
      <w:pPr>
        <w:pStyle w:val="13"/>
      </w:pPr>
      <w:r>
        <w:t>写作定位：本节是 TIFS 级别的生死线。结构必须从”口头声明”升级为”形式化定义 → 模拟器构造 → 模块化合成证明 → 泄漏量化上界”四层递进。以下为完整骨架与核心论证，可直接扩写为正式论文内容。</w:t>
      </w:r>
    </w:p>
    <w:p w14:paraId="3AF52267">
      <w:pPr>
        <w:pStyle w:val="5"/>
      </w:pPr>
      <w:bookmarkStart w:id="28" w:name="syntax-and-security-definition"/>
      <w:r>
        <w:t>6.1 Syntax and Security Definition</w:t>
      </w:r>
    </w:p>
    <w:p w14:paraId="589E3D8D">
      <w:pPr>
        <w:pStyle w:val="23"/>
      </w:pPr>
      <w:r>
        <w:rPr>
          <w:b/>
          <w:bCs/>
        </w:rPr>
        <w:t>协议语法</w:t>
      </w:r>
      <w:r>
        <w:t xml:space="preserve">：两方协议 </w:t>
      </w:r>
      <m:oMath>
        <m:r>
          <m:rPr/>
          <m:t>Π</m:t>
        </m:r>
        <m:r>
          <m:rPr>
            <m:sty m:val="p"/>
          </m:rPr>
          <m:t>=</m:t>
        </m:r>
        <m:d>
          <m:dPr>
            <m:sepChr m:val=""/>
          </m:dPr>
          <m:e>
            <m:r>
              <m:rPr>
                <m:sty m:val="p"/>
                <m:scr m:val="sans-serif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  <m:scr m:val="sans-serif"/>
              </m:rPr>
              <m:t>S</m:t>
            </m:r>
          </m:e>
        </m:d>
      </m:oMath>
      <w:r>
        <w:t xml:space="preserve">，客户端持有输入 </w:t>
      </w:r>
      <m:oMath>
        <m:r>
          <m:rPr/>
          <m:t>x</m:t>
        </m:r>
        <m:r>
          <m:rPr>
            <m:sty m:val="p"/>
          </m:rPr>
          <m:t>∈</m:t>
        </m:r>
        <m:r>
          <m:rPr>
            <m:sty m:val="p"/>
            <m:scr m:val="script"/>
          </m:rPr>
          <m:t>X</m:t>
        </m:r>
      </m:oMath>
      <w:r>
        <w:t xml:space="preserve">，服务器持有模型 </w:t>
      </w:r>
      <m:oMath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</m:oMath>
      <w:r>
        <w:t xml:space="preserve">。协议输出：客户端获得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t>，服务器无输出。</w:t>
      </w:r>
    </w:p>
    <w:p w14:paraId="453285D7">
      <w:pPr>
        <w:pStyle w:val="3"/>
      </w:pPr>
      <w:r>
        <w:rPr>
          <w:b/>
          <w:bCs/>
        </w:rPr>
        <w:t>视图定义</w:t>
      </w:r>
      <w:r>
        <w:t>：服务器视图</w:t>
      </w:r>
    </w:p>
    <w:p w14:paraId="5EE7AF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ans-serif"/>
                </m:rPr>
                <m:t>View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θ</m:t>
              </m:r>
              <m:r>
                <m:rPr>
                  <m:sty m:val="p"/>
                </m:rPr>
                <m:t>,</m:t>
              </m:r>
              <m:r>
                <m:rPr/>
                <m:t> </m:t>
              </m:r>
              <m:r>
                <m:rPr>
                  <m:sty m:val="p"/>
                </m:rPr>
                <m:t>{</m:t>
              </m:r>
              <m:r>
                <m:rPr/>
                <m:t>pk</m:t>
              </m:r>
              <m:r>
                <m:rPr>
                  <m:sty m:val="p"/>
                </m:rPr>
                <m:t>,</m:t>
              </m:r>
              <m:r>
                <m:rPr/>
                <m:t>evk</m:t>
              </m:r>
              <m:r>
                <m:rPr>
                  <m:sty m:val="p"/>
                </m:rPr>
                <m:t>},</m:t>
              </m:r>
              <m:r>
                <m:rPr/>
                <m:t> 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所有来自客户端的消息</m:t>
              </m:r>
              <m:r>
                <m:rPr>
                  <m:sty m:val="p"/>
                </m:rPr>
                <m:t>},</m:t>
              </m:r>
              <m:r>
                <m:rPr/>
                <m:t> </m:t>
              </m:r>
              <m:r>
                <m:rPr>
                  <m:nor/>
                  <m:sty m:val="p"/>
                </m:rPr>
                <m:t>内部随机带</m:t>
              </m:r>
            </m:e>
          </m:d>
        </m:oMath>
      </m:oMathPara>
    </w:p>
    <w:p w14:paraId="763A3E01">
      <w:pPr>
        <w:pStyle w:val="23"/>
      </w:pPr>
      <w:r>
        <w:t>客户端视图</w:t>
      </w:r>
    </w:p>
    <w:p w14:paraId="16E260B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ans-serif"/>
                </m:rPr>
                <m:t>View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 sk</m:t>
              </m:r>
              <m:r>
                <m:rPr>
                  <m:sty m:val="p"/>
                </m:rPr>
                <m:t>,</m:t>
              </m:r>
              <m:r>
                <m:rPr/>
                <m:t> 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所有来自服务器的消息</m:t>
              </m:r>
              <m:r>
                <m:rPr>
                  <m:sty m:val="p"/>
                </m:rPr>
                <m:t>},</m:t>
              </m:r>
              <m:r>
                <m:rPr/>
                <m:t> </m:t>
              </m:r>
              <m:r>
                <m:rPr>
                  <m:nor/>
                  <m:sty m:val="p"/>
                </m:rPr>
                <m:t>内部随机带</m:t>
              </m:r>
            </m:e>
          </m:d>
        </m:oMath>
      </m:oMathPara>
    </w:p>
    <w:p w14:paraId="5A4992E7">
      <w:pPr>
        <w:pStyle w:val="23"/>
      </w:pPr>
      <w:r>
        <w:rPr>
          <w:b/>
          <w:bCs/>
        </w:rPr>
        <w:t>安全定义（半诚实，多查询）</w:t>
      </w:r>
      <w:r>
        <w:t xml:space="preserve">：设客户端在生命周期内发起 </w:t>
      </w:r>
      <m:oMath>
        <m:r>
          <m:rPr/>
          <m:t>Q</m:t>
        </m:r>
      </m:oMath>
      <w:r>
        <w:t xml:space="preserve"> 次查询 </w:t>
      </w:r>
      <m:oMath>
        <m:sSup>
          <m:sSupPr/>
          <m:e>
            <m:r>
              <m:rPr/>
              <m:t>x</m:t>
            </m:r>
          </m:e>
          <m:sup>
            <m:d>
              <m:dPr>
                <m:sepChr m:val=""/>
              </m:dPr>
              <m:e>
                <m:r>
                  <m:rPr/>
                  <m:t>1</m:t>
                </m:r>
              </m:e>
            </m:d>
          </m:sup>
        </m:sSup>
        <m:r>
          <m:rPr>
            <m:sty m:val="p"/>
          </m:rPr>
          <m:t>,…,</m:t>
        </m:r>
        <m:sSup>
          <m:sSupPr/>
          <m:e>
            <m:r>
              <m:rPr/>
              <m:t>x</m:t>
            </m:r>
          </m:e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p>
      </m:oMath>
      <w:r>
        <w:t xml:space="preserve">。定义泄漏函数 </w:t>
      </w:r>
      <m:oMath>
        <m:r>
          <m:rPr>
            <m:sty m:val="p"/>
            <m:scr m:val="script"/>
          </m:rPr>
          <m:t>ℒ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>
                    <m:sty m:val="p"/>
                    <m:scr m:val="script"/>
                  </m:rPr>
                  <m:t>ℒ</m:t>
                </m:r>
              </m:e>
              <m:sub>
                <m:r>
                  <m:rPr/>
                  <m:t>S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p"/>
                    <m:scr m:val="script"/>
                  </m:rPr>
                  <m:t>ℒ</m:t>
                </m:r>
              </m:e>
              <m:sub>
                <m:r>
                  <m:rPr/>
                  <m:t>C</m:t>
                </m:r>
              </m:sub>
            </m:sSub>
          </m:e>
        </m:d>
      </m:oMath>
      <w:r>
        <w:t xml:space="preserve">。协议 </w:t>
      </w:r>
      <m:oMath>
        <m:r>
          <m:rPr/>
          <m:t>Π</m:t>
        </m:r>
      </m:oMath>
      <w:r>
        <w:t xml:space="preserve"> 安全当且仅当存在 PPT 模拟器对 </w:t>
      </w:r>
      <m:oMath>
        <m:d>
          <m:dPr>
            <m:sepChr m:val=""/>
          </m:dPr>
          <m:e>
            <m:sSub>
              <m:sSubPr/>
              <m:e>
                <m:r>
                  <m:rPr>
                    <m:sty m:val="p"/>
                    <m:scr m:val="sans-serif"/>
                  </m:rPr>
                  <m:t>Sim</m:t>
                </m:r>
              </m:e>
              <m:sub>
                <m:r>
                  <m:rPr/>
                  <m:t>S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p"/>
                    <m:scr m:val="sans-serif"/>
                  </m:rPr>
                  <m:t>Sim</m:t>
                </m:r>
              </m:e>
              <m:sub>
                <m:r>
                  <m:rPr/>
                  <m:t>C</m:t>
                </m:r>
              </m:sub>
            </m:sSub>
          </m:e>
        </m:d>
      </m:oMath>
      <w:r>
        <w:t xml:space="preserve">，使得对任意 </w:t>
      </w:r>
      <m:oMath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d>
                  <m:dPr>
                    <m:sepChr m:val=""/>
                  </m:dPr>
                  <m:e>
                    <m:r>
                      <m:rPr/>
                      <m:t>1</m:t>
                    </m:r>
                  </m:e>
                </m:d>
              </m:sup>
            </m:sSup>
            <m:r>
              <m:rPr>
                <m:sty m:val="p"/>
              </m:rPr>
              <m:t>,…,</m:t>
            </m:r>
            <m:sSup>
              <m:sSupPr/>
              <m:e>
                <m:r>
                  <m:rPr/>
                  <m:t>x</m:t>
                </m:r>
              </m:e>
              <m:sup>
                <m:d>
                  <m:dPr>
                    <m:sepChr m:val=""/>
                  </m:dPr>
                  <m:e>
                    <m:r>
                      <m:rPr/>
                      <m:t>Q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r>
              <m:rPr/>
              <m:t>θ</m:t>
            </m:r>
          </m:e>
        </m:d>
      </m:oMath>
      <w:r>
        <w:t>：</w:t>
      </w:r>
    </w:p>
    <w:p w14:paraId="1B80A1B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Sup>
            <m:sSubSupPr/>
            <m:e>
              <m:r>
                <m:rPr>
                  <m:sty m:val="p"/>
                  <m:scr m:val="sans-serif"/>
                </m:rPr>
                <m:t>View</m:t>
              </m:r>
            </m:e>
            <m:sub>
              <m:r>
                <m:rPr/>
                <m:t>S</m:t>
              </m:r>
            </m:sub>
            <m:sup>
              <m:r>
                <m:rPr/>
                <m:t>Π</m:t>
              </m:r>
            </m:sup>
          </m:sSubSup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∈[</m:t>
              </m:r>
              <m:r>
                <m:rPr/>
                <m:t>Q</m:t>
              </m:r>
              <m:r>
                <m:rPr>
                  <m:sty m:val="p"/>
                </m:rPr>
                <m:t>]</m:t>
              </m:r>
            </m:sub>
          </m:sSub>
          <m:limUpp>
            <m:limUppPr/>
            <m:e>
              <m:r>
                <m:rPr>
                  <m:sty m:val="p"/>
                </m:rPr>
                <m:t>≡</m:t>
              </m:r>
            </m:e>
            <m:lim>
              <m:r>
                <m:rPr/>
                <m:t>c</m:t>
              </m:r>
            </m:lim>
          </m:limUpp>
          <m:r>
            <m:rPr>
              <m:sty m:val="p"/>
            </m:rPr>
            <m:t>{</m:t>
          </m:r>
          <m:sSub>
            <m:sSubPr/>
            <m:e>
              <m:r>
                <m:rPr>
                  <m:sty m:val="p"/>
                  <m:scr m:val="sans-serif"/>
                </m:rPr>
                <m:t>Sim</m:t>
              </m:r>
            </m:e>
            <m:sub>
              <m:r>
                <m:rPr/>
                <m:t>S</m:t>
              </m:r>
            </m:sub>
          </m:sSub>
          <m:d>
            <m:dPr>
              <m:sepChr m:val=""/>
            </m:dPr>
            <m:e>
              <m:sSup>
                <m:sSupPr/>
                <m:e>
                  <m:r>
                    <m:rPr/>
                    <m:t>1</m:t>
                  </m:r>
                </m:e>
                <m:sup>
                  <m:r>
                    <m:rPr/>
                    <m:t>κ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θ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S</m:t>
                  </m:r>
                </m:sub>
              </m:sSub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1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,…,</m:t>
                  </m:r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Q</m:t>
                          </m:r>
                        </m:e>
                      </m:d>
                    </m:sup>
                  </m:sSup>
                </m:e>
              </m:d>
            </m:e>
          </m:d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∈[</m:t>
              </m:r>
              <m:r>
                <m:rPr/>
                <m:t>Q</m:t>
              </m:r>
              <m:r>
                <m:rPr>
                  <m:sty m:val="p"/>
                </m:rPr>
                <m:t>]</m:t>
              </m:r>
            </m:sub>
          </m:sSub>
        </m:oMath>
      </m:oMathPara>
    </w:p>
    <w:p w14:paraId="0EF5CBE8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Sup>
            <m:sSubSupPr/>
            <m:e>
              <m:r>
                <m:rPr>
                  <m:sty m:val="p"/>
                  <m:scr m:val="sans-serif"/>
                </m:rPr>
                <m:t>View</m:t>
              </m:r>
            </m:e>
            <m:sub>
              <m:r>
                <m:rPr/>
                <m:t>C</m:t>
              </m:r>
            </m:sub>
            <m:sup>
              <m:r>
                <m:rPr/>
                <m:t>Π</m:t>
              </m:r>
            </m:sup>
          </m:sSubSup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∈[</m:t>
              </m:r>
              <m:r>
                <m:rPr/>
                <m:t>Q</m:t>
              </m:r>
              <m:r>
                <m:rPr>
                  <m:sty m:val="p"/>
                </m:rPr>
                <m:t>]</m:t>
              </m:r>
            </m:sub>
          </m:sSub>
          <m:limUpp>
            <m:limUppPr/>
            <m:e>
              <m:r>
                <m:rPr>
                  <m:sty m:val="p"/>
                </m:rPr>
                <m:t>≡</m:t>
              </m:r>
            </m:e>
            <m:lim>
              <m:r>
                <m:rPr/>
                <m:t>c</m:t>
              </m:r>
            </m:lim>
          </m:limUpp>
          <m:r>
            <m:rPr>
              <m:sty m:val="p"/>
            </m:rPr>
            <m:t>{</m:t>
          </m:r>
          <m:sSub>
            <m:sSubPr/>
            <m:e>
              <m:r>
                <m:rPr>
                  <m:sty m:val="p"/>
                  <m:scr m:val="sans-serif"/>
                </m:rPr>
                <m:t>Sim</m:t>
              </m:r>
            </m:e>
            <m:sub>
              <m:r>
                <m:rPr/>
                <m:t>C</m:t>
              </m:r>
            </m:sub>
          </m:sSub>
          <m:d>
            <m:dPr>
              <m:sepChr m:val=""/>
            </m:dPr>
            <m:e>
              <m:sSup>
                <m:sSupPr/>
                <m:e>
                  <m:r>
                    <m:rPr/>
                    <m:t>1</m:t>
                  </m:r>
                </m:e>
                <m:sup>
                  <m:r>
                    <m:rPr/>
                    <m:t>κ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,…,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Q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C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θ</m:t>
                  </m:r>
                </m:e>
              </m:d>
            </m:e>
          </m:d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∈[</m:t>
              </m:r>
              <m:r>
                <m:rPr/>
                <m:t>Q</m:t>
              </m:r>
              <m:r>
                <m:rPr>
                  <m:sty m:val="p"/>
                </m:rPr>
                <m:t>]</m:t>
              </m:r>
            </m:sub>
          </m:sSub>
        </m:oMath>
      </m:oMathPara>
    </w:p>
    <w:p w14:paraId="68BC897F">
      <w:pPr>
        <w:pStyle w:val="23"/>
      </w:pPr>
      <w:r>
        <w:t xml:space="preserve">其中 </w:t>
      </w:r>
      <m:oMath>
        <m:limUpp>
          <m:limUppPr/>
          <m:e>
            <m:r>
              <m:rPr>
                <m:sty m:val="p"/>
              </m:rPr>
              <m:t>≡</m:t>
            </m:r>
          </m:e>
          <m:lim>
            <m:r>
              <m:rPr/>
              <m:t>c</m:t>
            </m:r>
          </m:lim>
        </m:limUpp>
      </m:oMath>
      <w:r>
        <w:t xml:space="preserve"> 表示计算不可区分，</w:t>
      </w:r>
      <m:oMath>
        <m:r>
          <m:rPr/>
          <m:t>κ</m:t>
        </m:r>
        <m:r>
          <m:rPr>
            <m:sty m:val="p"/>
          </m:rPr>
          <m:t>=</m:t>
        </m:r>
        <m:r>
          <m:rPr/>
          <m:t>128</m:t>
        </m:r>
      </m:oMath>
      <w:r>
        <w:t xml:space="preserve"> 为安全参数。</w:t>
      </w:r>
      <w:r>
        <w:rPr>
          <w:b/>
          <w:bCs/>
        </w:rPr>
        <w:t>多查询定义是本节区别于 Delphi 系论文的关键</w:t>
      </w:r>
      <w:r>
        <w:t>：Delphi 的安全声明隐含单查询假设，而 IoT 场景天然是高频多查询的。</w:t>
      </w:r>
    </w:p>
    <w:bookmarkEnd w:id="28"/>
    <w:p w14:paraId="39388256">
      <w:pPr>
        <w:pStyle w:val="5"/>
      </w:pPr>
      <w:bookmarkStart w:id="29" w:name="leakage-function-formalization"/>
      <w:r>
        <w:t>6.2 Leakage Function Formalization</w:t>
      </w:r>
    </w:p>
    <w:p w14:paraId="156992BF">
      <w:pPr>
        <w:pStyle w:val="23"/>
      </w:pPr>
      <w:r>
        <w:t>将协议允许的泄漏显式枚举为两张表（表 6-1、表 6-2）：</w:t>
      </w:r>
    </w:p>
    <w:p w14:paraId="273C1A6A">
      <w:pPr>
        <w:pStyle w:val="3"/>
      </w:pPr>
      <w:r>
        <w:rPr>
          <w:b/>
          <w:bCs/>
        </w:rPr>
        <w:t>服务器侧泄漏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S</m:t>
            </m:r>
          </m:sub>
        </m:sSub>
      </m:oMath>
      <w:r>
        <w:t>（表 6-1）：</w:t>
      </w:r>
    </w:p>
    <w:p w14:paraId="06281DC4">
      <w:pPr>
        <w:pStyle w:val="44"/>
      </w:pPr>
      <w:r>
        <w:t>表 6-1：服务器侧泄漏项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239"/>
        <w:gridCol w:w="1425"/>
        <w:gridCol w:w="4406"/>
      </w:tblGrid>
      <w:tr w14:paraId="22CD27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239" w:type="dxa"/>
            <w:vAlign w:val="center"/>
          </w:tcPr>
          <w:p w14:paraId="3873CEEB">
            <w:pPr>
              <w:pStyle w:val="84"/>
              <w:jc w:val="left"/>
            </w:pPr>
            <w:r>
              <w:t>泄漏项</w:t>
            </w:r>
          </w:p>
        </w:tc>
        <w:tc>
          <w:tcPr>
            <w:tcW w:w="1425" w:type="dxa"/>
            <w:vAlign w:val="center"/>
          </w:tcPr>
          <w:p w14:paraId="0D55290C">
            <w:pPr>
              <w:pStyle w:val="84"/>
              <w:jc w:val="left"/>
            </w:pPr>
            <w:r>
              <w:t>形式化</w:t>
            </w:r>
          </w:p>
        </w:tc>
        <w:tc>
          <w:tcPr>
            <w:tcW w:w="4406" w:type="dxa"/>
            <w:vAlign w:val="center"/>
          </w:tcPr>
          <w:p w14:paraId="025A7B6A">
            <w:pPr>
              <w:pStyle w:val="84"/>
              <w:jc w:val="left"/>
            </w:pPr>
            <w:r>
              <w:t>说明</w:t>
            </w:r>
          </w:p>
        </w:tc>
      </w:tr>
      <w:tr w14:paraId="213296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39" w:type="dxa"/>
            <w:vAlign w:val="center"/>
          </w:tcPr>
          <w:p w14:paraId="5A9A8A9A">
            <w:pPr>
              <w:pStyle w:val="84"/>
              <w:jc w:val="left"/>
            </w:pPr>
            <w:r>
              <w:t>模型结构</w:t>
            </w:r>
          </w:p>
        </w:tc>
        <w:tc>
          <w:tcPr>
            <w:tcW w:w="1425" w:type="dxa"/>
            <w:vAlign w:val="center"/>
          </w:tcPr>
          <w:p w14:paraId="3B3B369C">
            <w:pPr>
              <w:pStyle w:val="84"/>
              <w:jc w:val="left"/>
            </w:pPr>
            <m:oMathPara>
              <m:oMath>
                <m:r>
                  <m:rPr/>
                  <m:t>K</m:t>
                </m:r>
                <m:r>
                  <m:rPr>
                    <m:sty m:val="p"/>
                  </m:rPr>
                  <m:t>,{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l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4406" w:type="dxa"/>
            <w:vAlign w:val="center"/>
          </w:tcPr>
          <w:p w14:paraId="366065D5">
            <w:pPr>
              <w:pStyle w:val="84"/>
              <w:jc w:val="left"/>
            </w:pPr>
            <w:r>
              <w:t>非线性层数、各层维度（服务器自己持有，非泄漏）</w:t>
            </w:r>
          </w:p>
        </w:tc>
      </w:tr>
      <w:tr w14:paraId="1DDA8F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39" w:type="dxa"/>
            <w:vAlign w:val="center"/>
          </w:tcPr>
          <w:p w14:paraId="0372F46C">
            <w:pPr>
              <w:pStyle w:val="84"/>
              <w:jc w:val="left"/>
            </w:pPr>
            <w:r>
              <w:t>输入维度与密文规模</w:t>
            </w:r>
          </w:p>
        </w:tc>
        <w:tc>
          <w:tcPr>
            <w:tcW w:w="1425" w:type="dxa"/>
            <w:vAlign w:val="center"/>
          </w:tcPr>
          <w:p w14:paraId="27F362EB">
            <w:pPr>
              <w:pStyle w:val="84"/>
              <w:jc w:val="left"/>
            </w:pPr>
            <m:oMathPara>
              <m:oMath>
                <m:r>
                  <m:rPr>
                    <m:sty m:val="p"/>
                  </m:rPr>
                  <m:t>∥</m:t>
                </m:r>
                <m:r>
                  <m:rPr/>
                  <m:t>x</m:t>
                </m:r>
                <m:r>
                  <m:rPr>
                    <m:sty m:val="p"/>
                  </m:rPr>
                  <m:t>∥,</m:t>
                </m:r>
                <m:r>
                  <m:rPr/>
                  <m:t>B</m:t>
                </m:r>
              </m:oMath>
            </m:oMathPara>
          </w:p>
        </w:tc>
        <w:tc>
          <w:tcPr>
            <w:tcW w:w="4406" w:type="dxa"/>
            <w:vAlign w:val="center"/>
          </w:tcPr>
          <w:p w14:paraId="69B52680">
            <w:pPr>
              <w:pStyle w:val="84"/>
              <w:jc w:val="left"/>
            </w:pPr>
            <w:r>
              <w:t>密文块数</w:t>
            </w:r>
          </w:p>
        </w:tc>
      </w:tr>
      <w:tr w14:paraId="580204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39" w:type="dxa"/>
            <w:vAlign w:val="center"/>
          </w:tcPr>
          <w:p w14:paraId="0C7118BF">
            <w:pPr>
              <w:pStyle w:val="84"/>
              <w:jc w:val="left"/>
            </w:pPr>
            <w:r>
              <w:t>查询次数与到达模式</w:t>
            </w:r>
          </w:p>
        </w:tc>
        <w:tc>
          <w:tcPr>
            <w:tcW w:w="1425" w:type="dxa"/>
            <w:vAlign w:val="center"/>
          </w:tcPr>
          <w:p w14:paraId="1AE51101">
            <w:pPr>
              <w:pStyle w:val="84"/>
              <w:jc w:val="left"/>
            </w:pPr>
            <m:oMathPara>
              <m:oMath>
                <m:r>
                  <m:rPr/>
                  <m:t>Q</m:t>
                </m:r>
                <m:r>
                  <m:rPr>
                    <m:sty m:val="p"/>
                  </m:rPr>
                  <m:t>,{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q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4406" w:type="dxa"/>
            <w:vAlign w:val="center"/>
          </w:tcPr>
          <w:p w14:paraId="33841AF8">
            <w:pPr>
              <w:pStyle w:val="84"/>
              <w:jc w:val="left"/>
            </w:pPr>
            <w:r>
              <w:t>多查询下服务端可见</w:t>
            </w:r>
          </w:p>
        </w:tc>
      </w:tr>
      <w:tr w14:paraId="4BA2EF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39" w:type="dxa"/>
            <w:vAlign w:val="center"/>
          </w:tcPr>
          <w:p w14:paraId="2BB93974">
            <w:pPr>
              <w:pStyle w:val="84"/>
              <w:jc w:val="left"/>
            </w:pPr>
            <w:r>
              <w:t>调度策略</w:t>
            </w:r>
          </w:p>
        </w:tc>
        <w:tc>
          <w:tcPr>
            <w:tcW w:w="1425" w:type="dxa"/>
            <w:vAlign w:val="center"/>
          </w:tcPr>
          <w:p w14:paraId="45A0678F">
            <w:pPr>
              <w:pStyle w:val="84"/>
              <w:jc w:val="left"/>
            </w:pPr>
            <m:oMathPara>
              <m:oMath>
                <m:r>
                  <m:rPr/>
                  <m:t>s</m:t>
                </m:r>
              </m:oMath>
            </m:oMathPara>
          </w:p>
        </w:tc>
        <w:tc>
          <w:tcPr>
            <w:tcW w:w="4406" w:type="dxa"/>
            <w:vAlign w:val="center"/>
          </w:tcPr>
          <w:p w14:paraId="3E3D2AE1">
            <w:pPr>
              <w:pStyle w:val="84"/>
              <w:jc w:val="left"/>
            </w:pPr>
            <w:r>
              <w:t>各层 HE-only / Hybrid 选择</w:t>
            </w:r>
          </w:p>
        </w:tc>
      </w:tr>
      <w:tr w14:paraId="3A1C26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39" w:type="dxa"/>
            <w:vAlign w:val="center"/>
          </w:tcPr>
          <w:p w14:paraId="552AF1C7">
            <w:pPr>
              <w:pStyle w:val="84"/>
              <w:jc w:val="left"/>
            </w:pPr>
            <w:r>
              <w:t>Hybrid 层的掩码共享值</w:t>
            </w:r>
          </w:p>
        </w:tc>
        <w:tc>
          <w:tcPr>
            <w:tcW w:w="1425" w:type="dxa"/>
            <w:vAlign w:val="center"/>
          </w:tcPr>
          <w:p w14:paraId="3D1011F1">
            <w:pPr>
              <w:pStyle w:val="84"/>
              <w:jc w:val="left"/>
            </w:pPr>
            <m:oMathPara>
              <m:oMath>
                <m:r>
                  <m:rPr>
                    <m:sty m:val="p"/>
                  </m:rPr>
                  <m:t>{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4406" w:type="dxa"/>
            <w:vAlign w:val="center"/>
          </w:tcPr>
          <w:p w14:paraId="26A4EE5D">
            <w:pPr>
              <w:pStyle w:val="84"/>
              <w:jc w:val="left"/>
            </w:pPr>
            <w:r>
              <w:rPr>
                <w:b/>
                <w:bCs/>
              </w:rPr>
              <w:t>核心泄漏面，见下文分析</w:t>
            </w:r>
          </w:p>
        </w:tc>
      </w:tr>
    </w:tbl>
    <w:p w14:paraId="320C6381">
      <w:pPr>
        <w:pStyle w:val="3"/>
      </w:pPr>
      <w:r>
        <w:rPr>
          <w:b/>
          <w:bCs/>
        </w:rPr>
        <w:t>客户端侧泄漏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C</m:t>
            </m:r>
          </m:sub>
        </m:sSub>
      </m:oMath>
      <w:r>
        <w:t>（表 6-2）：</w:t>
      </w:r>
    </w:p>
    <w:p w14:paraId="7D06943F">
      <w:pPr>
        <w:pStyle w:val="44"/>
      </w:pPr>
      <w:r>
        <w:t>表 6-2：客户端侧泄漏项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657"/>
        <w:gridCol w:w="1609"/>
        <w:gridCol w:w="3804"/>
      </w:tblGrid>
      <w:tr w14:paraId="11A4DE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657" w:type="dxa"/>
            <w:vAlign w:val="center"/>
          </w:tcPr>
          <w:p w14:paraId="40067405">
            <w:pPr>
              <w:pStyle w:val="84"/>
              <w:jc w:val="left"/>
            </w:pPr>
            <w:r>
              <w:t>泄漏项</w:t>
            </w:r>
          </w:p>
        </w:tc>
        <w:tc>
          <w:tcPr>
            <w:tcW w:w="1609" w:type="dxa"/>
            <w:vAlign w:val="center"/>
          </w:tcPr>
          <w:p w14:paraId="3E4E9A22">
            <w:pPr>
              <w:pStyle w:val="84"/>
              <w:jc w:val="left"/>
            </w:pPr>
            <w:r>
              <w:t>形式化</w:t>
            </w:r>
          </w:p>
        </w:tc>
        <w:tc>
          <w:tcPr>
            <w:tcW w:w="3804" w:type="dxa"/>
            <w:vAlign w:val="center"/>
          </w:tcPr>
          <w:p w14:paraId="30A1EF04">
            <w:pPr>
              <w:pStyle w:val="84"/>
              <w:jc w:val="left"/>
            </w:pPr>
            <w:r>
              <w:t>说明</w:t>
            </w:r>
          </w:p>
        </w:tc>
      </w:tr>
      <w:tr w14:paraId="3D2F18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657" w:type="dxa"/>
            <w:vAlign w:val="center"/>
          </w:tcPr>
          <w:p w14:paraId="2AA2754A">
            <w:pPr>
              <w:pStyle w:val="84"/>
              <w:jc w:val="left"/>
            </w:pPr>
            <w:r>
              <w:t>模型结构</w:t>
            </w:r>
          </w:p>
        </w:tc>
        <w:tc>
          <w:tcPr>
            <w:tcW w:w="1609" w:type="dxa"/>
            <w:vAlign w:val="center"/>
          </w:tcPr>
          <w:p w14:paraId="1012327B">
            <w:pPr>
              <w:pStyle w:val="84"/>
              <w:jc w:val="left"/>
            </w:pPr>
            <m:oMathPara>
              <m:oMath>
                <m:r>
                  <m:rPr/>
                  <m:t>K</m:t>
                </m:r>
                <m:r>
                  <m:rPr>
                    <m:sty m:val="p"/>
                  </m:rPr>
                  <m:t>,{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l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3804" w:type="dxa"/>
            <w:vAlign w:val="center"/>
          </w:tcPr>
          <w:p w14:paraId="74F0A8C4">
            <w:pPr>
              <w:pStyle w:val="84"/>
              <w:jc w:val="left"/>
            </w:pPr>
            <w:r>
              <w:t>调度策略公开时随之暴露</w:t>
            </w:r>
          </w:p>
        </w:tc>
      </w:tr>
      <w:tr w14:paraId="1CD2F1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657" w:type="dxa"/>
            <w:vAlign w:val="center"/>
          </w:tcPr>
          <w:p w14:paraId="4E548A04">
            <w:pPr>
              <w:pStyle w:val="84"/>
              <w:jc w:val="left"/>
            </w:pPr>
            <w:r>
              <w:t>推理输出</w:t>
            </w:r>
          </w:p>
        </w:tc>
        <w:tc>
          <w:tcPr>
            <w:tcW w:w="1609" w:type="dxa"/>
            <w:vAlign w:val="center"/>
          </w:tcPr>
          <w:p w14:paraId="4DD53C53">
            <w:pPr>
              <w:pStyle w:val="84"/>
              <w:jc w:val="left"/>
            </w:pPr>
            <m:oMathPara>
              <m:oMath>
                <m:r>
                  <m:rPr/>
                  <m:t>y</m:t>
                </m:r>
              </m:oMath>
            </m:oMathPara>
          </w:p>
        </w:tc>
        <w:tc>
          <w:tcPr>
            <w:tcW w:w="3804" w:type="dxa"/>
            <w:vAlign w:val="center"/>
          </w:tcPr>
          <w:p w14:paraId="7D5439E0">
            <w:pPr>
              <w:pStyle w:val="84"/>
              <w:jc w:val="left"/>
            </w:pPr>
            <w:r>
              <w:t>功能性必需</w:t>
            </w:r>
          </w:p>
        </w:tc>
      </w:tr>
      <w:tr w14:paraId="707E15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657" w:type="dxa"/>
            <w:vAlign w:val="center"/>
          </w:tcPr>
          <w:p w14:paraId="0B9D2E55">
            <w:pPr>
              <w:pStyle w:val="84"/>
              <w:jc w:val="left"/>
            </w:pPr>
            <w:r>
              <w:t>Hybrid 层的掩码共享值</w:t>
            </w:r>
          </w:p>
        </w:tc>
        <w:tc>
          <w:tcPr>
            <w:tcW w:w="1609" w:type="dxa"/>
            <w:vAlign w:val="center"/>
          </w:tcPr>
          <w:p w14:paraId="61B92566">
            <w:pPr>
              <w:pStyle w:val="84"/>
              <w:jc w:val="left"/>
            </w:pPr>
            <m:oMathPara>
              <m:oMath>
                <m:r>
                  <m:rPr>
                    <m:sty m:val="p"/>
                  </m:rPr>
                  <m:t>{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3804" w:type="dxa"/>
            <w:vAlign w:val="center"/>
          </w:tcPr>
          <w:p w14:paraId="5F8AA39D">
            <w:pPr>
              <w:pStyle w:val="84"/>
              <w:jc w:val="left"/>
            </w:pPr>
            <w:r>
              <w:t>客户端每层解密所见</w:t>
            </w:r>
          </w:p>
        </w:tc>
      </w:tr>
      <w:tr w14:paraId="31B23B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657" w:type="dxa"/>
            <w:vAlign w:val="center"/>
          </w:tcPr>
          <w:p w14:paraId="398C289E">
            <w:pPr>
              <w:pStyle w:val="84"/>
              <w:jc w:val="left"/>
            </w:pPr>
            <w:r>
              <w:t>通信量</w:t>
            </w:r>
          </w:p>
        </w:tc>
        <w:tc>
          <w:tcPr>
            <w:tcW w:w="1609" w:type="dxa"/>
            <w:vAlign w:val="center"/>
          </w:tcPr>
          <w:p w14:paraId="64FFA04C">
            <w:pPr>
              <w:pStyle w:val="84"/>
              <w:jc w:val="left"/>
            </w:pPr>
            <m:oMath>
              <m:r>
                <m:rPr>
                  <m:sty m:val="p"/>
                </m:rPr>
                <m:t>∥</m:t>
              </m:r>
            </m:oMath>
            <w:r>
              <w:t>msg</w:t>
            </w:r>
            <m:oMath>
              <m:r>
                <m:rPr>
                  <m:sty m:val="p"/>
                </m:rPr>
                <m:t>∥</m:t>
              </m:r>
            </m:oMath>
          </w:p>
        </w:tc>
        <w:tc>
          <w:tcPr>
            <w:tcW w:w="3804" w:type="dxa"/>
            <w:vAlign w:val="center"/>
          </w:tcPr>
          <w:p w14:paraId="1E79D375">
            <w:pPr>
              <w:pStyle w:val="84"/>
              <w:jc w:val="left"/>
            </w:pPr>
            <w:r>
              <w:t>尺寸泄漏</w:t>
            </w:r>
          </w:p>
        </w:tc>
      </w:tr>
    </w:tbl>
    <w:p w14:paraId="55CDD74D">
      <w:pPr>
        <w:pStyle w:val="3"/>
      </w:pPr>
      <w:r>
        <w:rPr>
          <w:b/>
          <w:bCs/>
        </w:rPr>
        <w:t>掩码共享值的泄漏量化（本节核心论证）</w:t>
      </w:r>
      <w:r>
        <w:t xml:space="preserve">：hybrid 层中客户端解密得到 </w:t>
      </w:r>
      <m:oMath>
        <m:sSubSup>
          <m:sSubSupPr/>
          <m:e>
            <m:r>
              <m:rPr/>
              <m:t>z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</m:oMath>
      <w:r>
        <w:t>。在</w:t>
      </w:r>
      <w:r>
        <w:rPr>
          <w:b/>
          <w:bCs/>
        </w:rPr>
        <w:t>掩码逐查询新鲜采样</w:t>
      </w:r>
      <w:r>
        <w:t>（</w:t>
      </w:r>
      <m:oMath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  <m:r>
          <m:rPr>
            <m:sty m:val="p"/>
          </m:rPr>
          <m:t>←</m:t>
        </m:r>
        <m:r>
          <m:rPr>
            <m:sty m:val="p"/>
            <m:scr m:val="script"/>
          </m:rPr>
          <m:t>D</m:t>
        </m:r>
      </m:oMath>
      <w:r>
        <w:t xml:space="preserve"> 均匀且独立）的前提下，</w:t>
      </w:r>
      <m:oMath>
        <m:sSubSup>
          <m:sSubSupPr/>
          <m:e>
            <m:r>
              <m:rPr/>
              <m:t>z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</m:oMath>
      <w:r>
        <w:t xml:space="preserve"> 与 </w:t>
      </w:r>
      <m:oMath>
        <m:sSubSup>
          <m:sSubSupPr/>
          <m:e>
            <m:r>
              <m:rPr/>
              <m:t>z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</m:oMath>
      <w:r>
        <w:t xml:space="preserve"> 独立同分布（one-time pad 语义），单查询下无泄漏。但</w:t>
      </w:r>
      <w:r>
        <w:rPr>
          <w:b/>
          <w:bCs/>
        </w:rPr>
        <w:t>若掩码跨查询复用</w:t>
      </w:r>
      <w:r>
        <w:t xml:space="preserve"> </w:t>
      </w:r>
      <m:oMath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1</m:t>
                    </m:r>
                  </m:sub>
                </m:sSub>
              </m:e>
            </m:d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2</m:t>
                    </m:r>
                  </m:sub>
                </m:sSub>
              </m:e>
            </m:d>
          </m:sup>
        </m:sSubSup>
      </m:oMath>
      <w:r>
        <w:t>，则两条掩码值之差</w:t>
      </w:r>
    </w:p>
    <w:p w14:paraId="44AB8CD6"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e>
                  </m:d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k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e>
                  </m:d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sSubSupPr/>
            <m:e>
              <m:r>
                <m:rPr/>
                <m:t>z</m:t>
              </m:r>
            </m:e>
            <m:sub>
              <m:r>
                <m:rPr/>
                <m:t>k</m:t>
              </m:r>
            </m:sub>
            <m:sup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z</m:t>
              </m:r>
            </m:e>
            <m:sub>
              <m:r>
                <m:rPr/>
                <m:t>k</m:t>
              </m:r>
            </m:sub>
            <m:sup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sup>
          </m:sSubSup>
        </m:oMath>
      </m:oMathPara>
    </w:p>
    <w:p w14:paraId="18DE5FDF">
      <w:pPr>
        <w:pStyle w:val="23"/>
      </w:pPr>
      <w:r>
        <w:t>直接泄露两查询激活值之差——这是 Delphi 系协议已知但未充分处理的攻击面（激活值差分可支撑成员推理、属性推理等下游攻击）。因此 LitePI 的安全声明</w:t>
      </w:r>
      <w:r>
        <w:rPr>
          <w:b/>
          <w:bCs/>
        </w:rPr>
        <w:t>必须包含掩码管理规则</w:t>
      </w:r>
      <w:r>
        <w:t>：</w:t>
      </w:r>
    </w:p>
    <w:p w14:paraId="6CBDEDFA">
      <w:pPr>
        <w:pStyle w:val="24"/>
        <w:numPr>
          <w:ilvl w:val="0"/>
          <w:numId w:val="6"/>
        </w:numPr>
      </w:pPr>
      <w:r>
        <w:rPr>
          <w:b/>
          <w:bCs/>
        </w:rPr>
        <w:t>规则 M1（一次性）</w:t>
      </w:r>
      <w:r>
        <w:t xml:space="preserve">：每个 hybrid 层、每次查询，掩码 </w:t>
      </w:r>
      <m:oMath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</m:oMath>
      <w:r>
        <w:t xml:space="preserve"> 独立均匀采样，禁止复用；</w:t>
      </w:r>
    </w:p>
    <w:p w14:paraId="4B4ADE7D">
      <w:pPr>
        <w:pStyle w:val="24"/>
        <w:numPr>
          <w:ilvl w:val="0"/>
          <w:numId w:val="6"/>
        </w:numPr>
      </w:pPr>
      <w:r>
        <w:rPr>
          <w:b/>
          <w:bCs/>
        </w:rPr>
        <w:t>规则 M2（域对齐）</w:t>
      </w:r>
      <w:r>
        <w:t>：掩码采样域须覆盖激活值分布域（防止区间截断导致的部分泄露）；</w:t>
      </w:r>
    </w:p>
    <w:p w14:paraId="5969F1D8">
      <w:pPr>
        <w:pStyle w:val="24"/>
        <w:numPr>
          <w:ilvl w:val="0"/>
          <w:numId w:val="6"/>
        </w:numPr>
      </w:pPr>
      <w:r>
        <w:rPr>
          <w:b/>
          <w:bCs/>
        </w:rPr>
        <w:t>规则 M3（重同步检测）</w:t>
      </w:r>
      <w:r>
        <w:t>：会话密钥/随机带失步时立即终止并重新密钥化。</w:t>
      </w:r>
    </w:p>
    <w:p w14:paraId="0C46A6E3">
      <w:pPr>
        <w:pStyle w:val="23"/>
      </w:pPr>
      <w:r>
        <w:t>这三条规则是实现层面的硬约束，需在 Implementation 与代码测试中显式验证（如单元测试断言掩码不重复）。</w:t>
      </w:r>
    </w:p>
    <w:bookmarkEnd w:id="29"/>
    <w:p w14:paraId="04C3150A">
      <w:pPr>
        <w:pStyle w:val="5"/>
      </w:pPr>
      <w:bookmarkStart w:id="30" w:name="he-only-mode-simulator-construction"/>
      <w:r>
        <w:t>6.3 HE-only Mode: Simulator Construction</w:t>
      </w:r>
    </w:p>
    <w:p w14:paraId="069AB86A">
      <w:pPr>
        <w:pStyle w:val="23"/>
      </w:pPr>
      <w:r>
        <w:rPr>
          <w:b/>
          <w:bCs/>
        </w:rPr>
        <w:t>命题 1</w:t>
      </w:r>
      <w:r>
        <w:t>：若底层 CKKS 方案满足 IND-CPA 安全（</w:t>
      </w:r>
      <m:oMath>
        <m:r>
          <m:rPr/>
          <m:t>κ</m:t>
        </m:r>
        <m:r>
          <m:rPr>
            <m:sty m:val="p"/>
          </m:rPr>
          <m:t>=</m:t>
        </m:r>
        <m:r>
          <m:rPr/>
          <m:t>128</m:t>
        </m:r>
      </m:oMath>
      <w:r>
        <w:t>），则 HE-only 模式下 LitePI 对服务器满足半诚实安全，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S</m:t>
            </m:r>
          </m:sub>
        </m:sSub>
      </m:oMath>
      <w:r>
        <w:t xml:space="preserve"> 仅含结构性泄漏。</w:t>
      </w:r>
    </w:p>
    <w:p w14:paraId="2BD472ED">
      <w:pPr>
        <w:pStyle w:val="3"/>
      </w:pPr>
      <w:r>
        <w:rPr>
          <w:b/>
          <w:bCs/>
        </w:rPr>
        <w:t>证明骨架（游戏跳跃）</w:t>
      </w:r>
      <w:r>
        <w:t>：</w:t>
      </w:r>
    </w:p>
    <w:p w14:paraId="49ECD189">
      <w:pPr>
        <w:pStyle w:val="24"/>
        <w:numPr>
          <w:ilvl w:val="0"/>
          <w:numId w:val="1"/>
        </w:numPr>
      </w:pPr>
      <m:oMath>
        <m:sSub>
          <m:sSubPr/>
          <m:e>
            <m:r>
              <m:rPr>
                <m:sty m:val="p"/>
                <m:scr m:val="sans-serif"/>
              </m:rPr>
              <m:t>Game</m:t>
            </m:r>
          </m:e>
          <m:sub>
            <m:r>
              <m:rPr/>
              <m:t>0</m:t>
            </m:r>
          </m:sub>
        </m:sSub>
      </m:oMath>
      <w:r>
        <w:t>：真实协议执行；</w:t>
      </w:r>
    </w:p>
    <w:p w14:paraId="1330675E">
      <w:pPr>
        <w:pStyle w:val="24"/>
        <w:numPr>
          <w:ilvl w:val="0"/>
          <w:numId w:val="1"/>
        </w:numPr>
      </w:pPr>
      <m:oMath>
        <m:sSub>
          <m:sSubPr/>
          <m:e>
            <m:r>
              <m:rPr>
                <m:sty m:val="p"/>
                <m:scr m:val="sans-serif"/>
              </m:rPr>
              <m:t>Game</m:t>
            </m:r>
          </m:e>
          <m:sub>
            <m:r>
              <m:rPr/>
              <m:t>1</m:t>
            </m:r>
          </m:sub>
        </m:sSub>
      </m:oMath>
      <w:r>
        <w:t xml:space="preserve">：将客户端上传的密文 </w:t>
      </w:r>
      <m:oMath>
        <m:sSub>
          <m:sSubPr/>
          <m:e>
            <m:r>
              <m:rPr>
                <m:sty m:val="p"/>
                <m:scr m:val="sans-serif"/>
              </m:rPr>
              <m:t>Enc</m:t>
            </m:r>
          </m:e>
          <m:sub>
            <m:r>
              <m:rPr/>
              <m:t>pk</m:t>
            </m:r>
          </m:sub>
        </m:sSub>
        <m:d>
          <m:dPr>
            <m:sepChr m:val=""/>
          </m:dPr>
          <m:e>
            <m:r>
              <m:rPr/>
              <m:t>m</m:t>
            </m:r>
          </m:e>
        </m:d>
      </m:oMath>
      <w:r>
        <w:t xml:space="preserve"> 逐个替换为 </w:t>
      </w:r>
      <m:oMath>
        <m:sSub>
          <m:sSubPr/>
          <m:e>
            <m:r>
              <m:rPr>
                <m:sty m:val="p"/>
                <m:scr m:val="sans-serif"/>
              </m:rPr>
              <m:t>Enc</m:t>
            </m:r>
          </m:e>
          <m:sub>
            <m:r>
              <m:rPr/>
              <m:t>pk</m:t>
            </m:r>
          </m:sub>
        </m:sSub>
        <m:d>
          <m:dPr>
            <m:sepChr m:val=""/>
          </m:dPr>
          <m:e>
            <m:r>
              <m:rPr/>
              <m:t>0</m:t>
            </m:r>
          </m:e>
        </m:d>
      </m:oMath>
      <w:r>
        <w:t>。由 IND-CPA（多重混合论证，混合步数 = 密文块数 × 查询数），两游戏计算不可区分；</w:t>
      </w:r>
    </w:p>
    <w:p w14:paraId="4CEB4CE0">
      <w:pPr>
        <w:pStyle w:val="24"/>
        <w:numPr>
          <w:ilvl w:val="0"/>
          <w:numId w:val="1"/>
        </w:numPr>
      </w:pPr>
      <m:oMath>
        <m:sSub>
          <m:sSubPr/>
          <m:e>
            <m:r>
              <m:rPr>
                <m:sty m:val="p"/>
                <m:scr m:val="sans-serif"/>
              </m:rPr>
              <m:t>Game</m:t>
            </m:r>
          </m:e>
          <m:sub>
            <m:r>
              <m:rPr/>
              <m:t>2</m:t>
            </m:r>
          </m:sub>
        </m:sSub>
      </m:oMath>
      <w:r>
        <w:t xml:space="preserve">：服务器对 </w:t>
      </w:r>
      <m:oMath>
        <m:sSub>
          <m:sSubPr/>
          <m:e>
            <m:r>
              <m:rPr>
                <m:sty m:val="p"/>
                <m:scr m:val="sans-serif"/>
              </m:rPr>
              <m:t>Enc</m:t>
            </m:r>
          </m:e>
          <m:sub>
            <m:r>
              <m:rPr/>
              <m:t>pk</m:t>
            </m:r>
          </m:sub>
        </m:sSub>
        <m:d>
          <m:dPr>
            <m:sepChr m:val=""/>
          </m:dPr>
          <m:e>
            <m:r>
              <m:rPr/>
              <m:t>0</m:t>
            </m:r>
          </m:e>
        </m:d>
      </m:oMath>
      <w:r>
        <w:t xml:space="preserve"> 的全部同态求值输出记为 </w:t>
      </w:r>
      <m:oMath>
        <m:r>
          <m:rPr>
            <m:sty m:val="p"/>
          </m:rPr>
          <m:t>⊥</m:t>
        </m:r>
      </m:oMath>
      <w:r>
        <w:t xml:space="preserve">（结构保持），模拟器 </w:t>
      </w:r>
      <m:oMath>
        <m:sSub>
          <m:sSubPr/>
          <m:e>
            <m:r>
              <m:rPr>
                <m:sty m:val="p"/>
                <m:scr m:val="sans-serif"/>
              </m:rPr>
              <m:t>Sim</m:t>
            </m:r>
          </m:e>
          <m:sub>
            <m:r>
              <m:rPr/>
              <m:t>S</m:t>
            </m:r>
          </m:sub>
        </m:sSub>
      </m:oMath>
      <w:r>
        <w:t xml:space="preserve"> 以 </w:t>
      </w:r>
      <m:oMath>
        <m:d>
          <m:dPr>
            <m:sepChr m:val=""/>
          </m:dPr>
          <m:e>
            <m:r>
              <m:rPr/>
              <m:t>θ</m:t>
            </m:r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p"/>
                    <m:scr m:val="script"/>
                  </m:rPr>
                  <m:t>ℒ</m:t>
                </m:r>
              </m:e>
              <m:sub>
                <m:r>
                  <m:rPr/>
                  <m:t>S</m:t>
                </m:r>
              </m:sub>
            </m:sSub>
          </m:e>
        </m:d>
      </m:oMath>
      <w:r>
        <w:t xml:space="preserve"> 为输入采样同规模随机密文即得。</w:t>
      </w:r>
    </w:p>
    <w:p w14:paraId="37B540E1">
      <w:pPr>
        <w:pStyle w:val="23"/>
      </w:pPr>
      <w:r>
        <w:t xml:space="preserve">客户端侧模拟器 </w:t>
      </w:r>
      <m:oMath>
        <m:sSub>
          <m:sSubPr/>
          <m:e>
            <m:r>
              <m:rPr>
                <m:sty m:val="p"/>
                <m:scr m:val="sans-serif"/>
              </m:rPr>
              <m:t>Sim</m:t>
            </m:r>
          </m:e>
          <m:sub>
            <m:r>
              <m:rPr/>
              <m:t>C</m:t>
            </m:r>
          </m:sub>
        </m:sSub>
      </m:oMath>
      <w:r>
        <w:t xml:space="preserve"> 平凡：客户端只接收最终密文 </w:t>
      </w:r>
      <m:oMath>
        <m:sSub>
          <m:sSubPr/>
          <m:e>
            <m:r>
              <m:rPr>
                <m:sty m:val="p"/>
                <m:scr m:val="sans-serif"/>
              </m:rPr>
              <m:t>Enc</m:t>
            </m:r>
          </m:e>
          <m:sub>
            <m:r>
              <m:rPr/>
              <m:t>pk</m:t>
            </m:r>
          </m:sub>
        </m:sSub>
        <m:d>
          <m:dPr>
            <m:sepChr m:val=""/>
          </m:dPr>
          <m:e>
            <m:sSup>
              <m:sSupPr/>
              <m:e>
                <m:r>
                  <m:rPr/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，其中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可由本地 </w:t>
      </w:r>
      <m:oMath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</m:oMath>
      <w:r>
        <w:t>… （注意：若模型保密是目标则需额外论证；若仅保护输入，</w:t>
      </w:r>
      <m:oMath>
        <m:sSub>
          <m:sSubPr/>
          <m:e>
            <m:r>
              <m:rPr>
                <m:sty m:val="p"/>
                <m:scr m:val="sans-serif"/>
              </m:rPr>
              <m:t>Sim</m:t>
            </m:r>
          </m:e>
          <m:sub>
            <m:r>
              <m:rPr/>
              <m:t>C</m:t>
            </m:r>
          </m:sub>
        </m:sSub>
      </m:oMath>
      <w:r>
        <w:t xml:space="preserve"> 只需模拟一个同规模密文，解密结果即真实输出 </w:t>
      </w:r>
      <m:oMath>
        <m:r>
          <m:rPr/>
          <m:t>y</m:t>
        </m:r>
      </m:oMath>
      <w:r>
        <w:t>）。</w:t>
      </w:r>
      <m:oMath>
        <m:r>
          <m:rPr>
            <m:sty m:val="p"/>
          </m:rPr>
          <m:t>◼</m:t>
        </m:r>
      </m:oMath>
    </w:p>
    <w:bookmarkEnd w:id="30"/>
    <w:p w14:paraId="33E1A717">
      <w:pPr>
        <w:pStyle w:val="5"/>
      </w:pPr>
      <w:bookmarkStart w:id="31" w:name="hybrid-mode-modular-composition-proof"/>
      <w:r>
        <w:t>6.4 Hybrid Mode: Modular Composition Proof</w:t>
      </w:r>
    </w:p>
    <w:p w14:paraId="2C31A8E2">
      <w:pPr>
        <w:pStyle w:val="23"/>
      </w:pPr>
      <w:r>
        <w:rPr>
          <w:b/>
          <w:bCs/>
        </w:rPr>
        <w:t>MPC ReLU 选型（必须写明）</w:t>
      </w:r>
      <w:r>
        <w:t>：采用</w:t>
      </w:r>
      <w:r>
        <w:rPr>
          <w:b/>
          <w:bCs/>
        </w:rPr>
        <w:t>加性秘密共享（additive secret sharing）+ silent OT/VOLE</w:t>
      </w:r>
      <w:r>
        <w:t xml:space="preserve"> 实现 ReLU（CrypTFlow2/Cheetah 路线）：</w:t>
      </w:r>
      <m:oMath>
        <m:r>
          <m:rPr>
            <m:sty m:val="p"/>
            <m:scr m:val="sans-serif"/>
          </m:rPr>
          <m:t>ReLU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⋅[</m:t>
        </m:r>
        <m:r>
          <m:rPr/>
          <m:t>x</m:t>
        </m:r>
        <m:r>
          <m:rPr>
            <m:sty m:val="p"/>
          </m:rPr>
          <m:t>&gt;</m:t>
        </m:r>
        <m:r>
          <m:rPr/>
          <m:t>0</m:t>
        </m:r>
        <m:r>
          <m:rPr>
            <m:sty m:val="p"/>
          </m:rPr>
          <m:t>]</m:t>
        </m:r>
      </m:oMath>
      <w:r>
        <w:t xml:space="preserve">，其中比较 </w:t>
      </w:r>
      <m:oMath>
        <m:r>
          <m:rPr>
            <m:sty m:val="p"/>
          </m:rPr>
          <m:t>[</m:t>
        </m:r>
        <m:r>
          <m:rPr/>
          <m:t>x</m:t>
        </m:r>
        <m:r>
          <m:rPr>
            <m:sty m:val="p"/>
          </m:rPr>
          <m:t>&gt;</m:t>
        </m:r>
        <m:r>
          <m:rPr/>
          <m:t>0</m:t>
        </m:r>
        <m:r>
          <m:rPr>
            <m:sty m:val="p"/>
          </m:rPr>
          <m:t>]</m:t>
        </m:r>
      </m:oMath>
      <w:r>
        <w:t xml:space="preserve"> 经 A2B 转换后由 silent-OT 预处理的 AND 门比较电路求值，选择项经 B2A 转换与 Beaver 乘法完成。选型理由（需在正文展开为一段）：</w:t>
      </w:r>
    </w:p>
    <w:p w14:paraId="7963F9B2">
      <w:pPr>
        <w:pStyle w:val="24"/>
        <w:numPr>
          <w:ilvl w:val="0"/>
          <w:numId w:val="7"/>
        </w:numPr>
      </w:pPr>
      <w:r>
        <w:rPr>
          <w:b/>
          <w:bCs/>
        </w:rPr>
        <w:t>协议结构契合</w:t>
      </w:r>
      <w:r>
        <w:t xml:space="preserve">：HE-to-share 转换（7.3.5）的产物天然是一对加性份额（服务器持 </w:t>
      </w:r>
      <m:oMath>
        <m:r>
          <m:rPr>
            <m:sty m:val="p"/>
          </m:rPr>
          <m:t>−</m:t>
        </m:r>
        <m:sSub>
          <m:sSubPr/>
          <m:e>
            <m:r>
              <m:rPr/>
              <m:t>r</m:t>
            </m:r>
          </m:e>
          <m:sub>
            <m:r>
              <m:rPr/>
              <m:t>k</m:t>
            </m:r>
          </m:sub>
        </m:sSub>
      </m:oMath>
      <w:r>
        <w:t xml:space="preserve">，客户端持 </w:t>
      </w:r>
      <m:oMath>
        <m:sSub>
          <m:sSubPr/>
          <m:e>
            <m:r>
              <m:rPr/>
              <m:t>z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r</m:t>
            </m:r>
          </m:e>
          <m:sub>
            <m:r>
              <m:rPr/>
              <m:t>k</m:t>
            </m:r>
          </m:sub>
        </m:sSub>
      </m:oMath>
      <w:r>
        <w:t>），加性共享路线可无缝衔接；GC 路线反而需要额外的算术-布尔域转换将份额喂入布尔电路；</w:t>
      </w:r>
    </w:p>
    <w:p w14:paraId="1A4C3638">
      <w:pPr>
        <w:pStyle w:val="24"/>
        <w:numPr>
          <w:ilvl w:val="0"/>
          <w:numId w:val="7"/>
        </w:numPr>
      </w:pPr>
      <w:r>
        <w:rPr>
          <w:b/>
          <w:bCs/>
        </w:rPr>
        <w:t>客户端在线成本</w:t>
      </w:r>
      <w:r>
        <w:t xml:space="preserve">：加性共享路线在线客户端传输为份额与 OT 消息（每 ReLU 约 </w:t>
      </w:r>
      <m:oMath>
        <m:sSup>
          <m:sSupPr/>
          <m:e>
            <m:r>
              <m:rPr/>
              <m:t>10</m:t>
            </m:r>
          </m:e>
          <m:sup>
            <m:r>
              <m:rPr/>
              <m:t>2</m:t>
            </m:r>
          </m:sup>
        </m:sSup>
      </m:oMath>
      <w:r>
        <w:t xml:space="preserve"> 字节量级）；GC 路线需客户端在线下载 garbled tables（</w:t>
      </w:r>
      <m:oMath>
        <m:sSub>
          <m:sSubPr/>
          <m:e>
            <m:r>
              <m:rPr/>
              <m:t>K</m:t>
            </m:r>
          </m:e>
          <m:sub>
            <m:r>
              <m:rPr/>
              <m:t>h</m:t>
            </m:r>
          </m:sub>
        </m:sSub>
      </m:oMath>
      <w:r>
        <w:t xml:space="preserve"> 个 ReLU 累计 MB 级），直接与本文客户端成本主线冲突；</w:t>
      </w:r>
    </w:p>
    <w:p w14:paraId="1BEBCD5E">
      <w:pPr>
        <w:pStyle w:val="24"/>
        <w:numPr>
          <w:ilvl w:val="0"/>
          <w:numId w:val="7"/>
        </w:numPr>
      </w:pPr>
      <w:r>
        <w:rPr>
          <w:b/>
          <w:bCs/>
        </w:rPr>
        <w:t>基线同构</w:t>
      </w:r>
      <w:r>
        <w:t>：与 2020 后 TIFS/S&amp;P 级主流方法（CrypTFlow2、Cheetah、CryptGPU）处于同一技术代际，公平对比更有说服力；Delphi（GC 路线）作为不同非线性路线的代表性基线保留对比。</w:t>
      </w:r>
    </w:p>
    <w:p w14:paraId="5B690297">
      <w:pPr>
        <w:pStyle w:val="23"/>
      </w:pPr>
      <w:r>
        <w:t xml:space="preserve">安全参数统一 128-bit（silent OT 基于 IKNP/VOLE 扩展：计算安全 128-bit、统计安全 64/80-bit，需在 Implementation 写明）。每个 ReLU 子协议 </w:t>
      </w:r>
      <m:oMath>
        <m:sSub>
          <m:sSubPr/>
          <m:e>
            <m:r>
              <m:rPr/>
              <m:t>r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轮（CrypTFlow2 风格单次交换），在线通信量 </w:t>
      </w:r>
      <m:oMath>
        <m:r>
          <m:rPr/>
          <m:t>O</m:t>
        </m:r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l</m:t>
                </m:r>
              </m:sub>
            </m:sSub>
            <m:r>
              <m:rPr>
                <m:sty m:val="p"/>
              </m:rPr>
              <m:t>⋅</m:t>
            </m:r>
            <m:r>
              <m:rPr/>
              <m:t>b</m:t>
            </m:r>
          </m:e>
        </m:d>
      </m:oMath>
      <w:r>
        <w:t>（</w:t>
      </w:r>
      <m:oMath>
        <m:r>
          <m:rPr/>
          <m:t>b</m:t>
        </m:r>
      </m:oMath>
      <w:r>
        <w:t xml:space="preserve"> 为共享值位宽，建议 16/32-bit）。</w:t>
      </w:r>
      <w:r>
        <w:rPr>
          <w:b/>
          <w:bCs/>
        </w:rPr>
        <w:t>必须补充定点截断误差分析</w:t>
      </w:r>
      <w:r>
        <w:t xml:space="preserve">：Beaver 乘法后除以 </w:t>
      </w:r>
      <m:oMath>
        <m:sSup>
          <m:sSupPr/>
          <m:e>
            <m:r>
              <m:rPr/>
              <m:t>2</m:t>
            </m:r>
          </m:e>
          <m:sup>
            <m:r>
              <m:rPr/>
              <m:t>f</m:t>
            </m:r>
          </m:sup>
        </m:sSup>
      </m:oMath>
      <w:r>
        <w:t xml:space="preserve"> 在秘密共享域中只能采用随机截断/随机舍入，会引入有界小概率误差，处理方式与误差上界沿 CryptGPU/ABY3 的分析框架给出。</w:t>
      </w:r>
    </w:p>
    <w:p w14:paraId="15CDB8F4">
      <w:pPr>
        <w:pStyle w:val="3"/>
      </w:pPr>
      <w:r>
        <w:rPr>
          <w:b/>
          <w:bCs/>
        </w:rPr>
        <w:t>命题 2（合成安全）</w:t>
      </w:r>
      <w:r>
        <w:t xml:space="preserve">：设 HE 满足 IND-CPA，MPC ReLU 子协议 </w:t>
      </w:r>
      <m:oMath>
        <m:sSub>
          <m:sSubPr/>
          <m:e>
            <m:r>
              <m:rPr/>
              <m:t>Π</m:t>
            </m:r>
          </m:e>
          <m:sub>
            <m:r>
              <m:rPr>
                <m:sty m:val="p"/>
                <m:scr m:val="sans-serif"/>
              </m:rPr>
              <m:t>ReLU</m:t>
            </m:r>
          </m:sub>
        </m:sSub>
      </m:oMath>
      <w:r>
        <w:t xml:space="preserve"> 满足半诚实安全（可模拟），且掩码管理规则 M1–M3 成立，则 hybrid 模式下 LitePI 满足 6.1 定义的安全。</w:t>
      </w:r>
    </w:p>
    <w:p w14:paraId="1A2D820B">
      <w:pPr>
        <w:pStyle w:val="3"/>
      </w:pPr>
      <w:r>
        <w:rPr>
          <w:b/>
          <w:bCs/>
        </w:rPr>
        <w:t>证明骨架（模块化 hop 序列）</w:t>
      </w:r>
      <w:r>
        <w:t>：对单次查询，构造模拟器链：</w:t>
      </w:r>
    </w:p>
    <w:p w14:paraId="30C03168">
      <w:pPr>
        <w:pStyle w:val="24"/>
        <w:numPr>
          <w:ilvl w:val="0"/>
          <w:numId w:val="8"/>
        </w:numPr>
      </w:pPr>
      <w:r>
        <w:rPr>
          <w:b/>
          <w:bCs/>
        </w:rPr>
        <w:t>HE 段</w:t>
      </w:r>
      <w:r>
        <w:t xml:space="preserve">：同命题 1，将所有密文替换为 </w:t>
      </w:r>
      <m:oMath>
        <m:r>
          <m:rPr>
            <m:sty m:val="p"/>
            <m:scr m:val="sans-serif"/>
          </m:rPr>
          <m:t>Enc</m:t>
        </m:r>
        <m:d>
          <m:dPr>
            <m:sepChr m:val=""/>
          </m:dPr>
          <m:e>
            <m:r>
              <m:rPr/>
              <m:t>0</m:t>
            </m:r>
          </m:e>
        </m:d>
      </m:oMath>
      <w:r>
        <w:t>；</w:t>
      </w:r>
    </w:p>
    <w:p w14:paraId="7AE0314F">
      <w:pPr>
        <w:pStyle w:val="24"/>
        <w:numPr>
          <w:ilvl w:val="0"/>
          <w:numId w:val="8"/>
        </w:numPr>
      </w:pPr>
      <w:r>
        <w:rPr>
          <w:b/>
          <w:bCs/>
        </w:rPr>
        <w:t>HE-to-share 转换段</w:t>
      </w:r>
      <w:r>
        <w:t xml:space="preserve">：服务器视图中的转换消息为 </w:t>
      </w:r>
      <m:oMath>
        <m:r>
          <m:rPr>
            <m:sty m:val="p"/>
            <m:scr m:val="sans-serif"/>
          </m:rPr>
          <m:t>Enc</m:t>
        </m:r>
        <m:d>
          <m:dPr>
            <m:sepChr m:val=""/>
          </m:dPr>
          <m:e>
            <m:sSub>
              <m:sSubPr/>
              <m:e>
                <m:r>
                  <m:rPr/>
                  <m:t>z</m:t>
                </m:r>
              </m:e>
              <m:sub>
                <m:r>
                  <m:rPr/>
                  <m:t>k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k</m:t>
                </m:r>
              </m:sub>
            </m:sSub>
          </m:e>
        </m:d>
      </m:oMath>
      <w:r>
        <w:t xml:space="preserve">；在 M1 下 </w:t>
      </w:r>
      <m:oMath>
        <m:sSub>
          <m:sSubPr/>
          <m:e>
            <m:r>
              <m:rPr/>
              <m:t>z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r</m:t>
            </m:r>
          </m:e>
          <m:sub>
            <m:r>
              <m:rPr/>
              <m:t>k</m:t>
            </m:r>
          </m:sub>
        </m:sSub>
      </m:oMath>
      <w:r>
        <w:t xml:space="preserve"> 与 </w:t>
      </w:r>
      <m:oMath>
        <m:sSub>
          <m:sSubPr/>
          <m:e>
            <m:r>
              <m:rPr/>
              <m:t>z</m:t>
            </m:r>
          </m:e>
          <m:sub>
            <m:r>
              <m:rPr/>
              <m:t>k</m:t>
            </m:r>
          </m:sub>
        </m:sSub>
      </m:oMath>
      <w:r>
        <w:t xml:space="preserve"> 独立同分布，模拟器直接采样均匀值并加密即可——注意这一步</w:t>
      </w:r>
      <w:r>
        <w:rPr>
          <w:b/>
          <w:bCs/>
        </w:rPr>
        <w:t>依赖掩码一次性</w:t>
      </w:r>
      <w:r>
        <w:t>，若违反 M1 则模拟器无法产出正确联合分布，论证失效（这正是多查询泄漏的根源）；</w:t>
      </w:r>
    </w:p>
    <w:p w14:paraId="16F91064">
      <w:pPr>
        <w:pStyle w:val="24"/>
        <w:numPr>
          <w:ilvl w:val="0"/>
          <w:numId w:val="8"/>
        </w:numPr>
      </w:pPr>
      <w:r>
        <w:rPr>
          <w:b/>
          <w:bCs/>
        </w:rPr>
        <w:t>MPC 段</w:t>
      </w:r>
      <w:r>
        <w:t xml:space="preserve">：由 </w:t>
      </w:r>
      <m:oMath>
        <m:sSub>
          <m:sSubPr/>
          <m:e>
            <m:r>
              <m:rPr/>
              <m:t>Π</m:t>
            </m:r>
          </m:e>
          <m:sub>
            <m:r>
              <m:rPr>
                <m:sty m:val="p"/>
                <m:scr m:val="sans-serif"/>
              </m:rPr>
              <m:t>ReLU</m:t>
            </m:r>
          </m:sub>
        </m:sSub>
      </m:oMath>
      <w:r>
        <w:t xml:space="preserve"> 的子协议模拟器逐层替换（标准加性秘密共享模拟器：诚实方份额固定时，另一方接收到的份额与其输入独立、在环上均匀分布；Beaver 三元组与 silent OT 消息由理想功能 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  <m:scr m:val="sans-serif"/>
              </m:rPr>
              <m:t>OT</m:t>
            </m:r>
          </m:sub>
        </m:sSub>
      </m:oMath>
      <w:r>
        <w:t>/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  <m:scr m:val="sans-serif"/>
              </m:rPr>
              <m:t>Mul</m:t>
            </m:r>
          </m:sub>
        </m:sSub>
      </m:oMath>
      <w:r>
        <w:t xml:space="preserve"> 模拟——加性共享在算术域上的模拟器比 GC 的 garbling 替换更简洁）；</w:t>
      </w:r>
    </w:p>
    <w:p w14:paraId="3409EA29">
      <w:pPr>
        <w:pStyle w:val="24"/>
        <w:numPr>
          <w:ilvl w:val="0"/>
          <w:numId w:val="8"/>
        </w:numPr>
      </w:pPr>
      <w:r>
        <w:rPr>
          <w:b/>
          <w:bCs/>
        </w:rPr>
        <w:t>share-to-HE 段</w:t>
      </w:r>
      <w:r>
        <w:t xml:space="preserve">：客户端持有的份额 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z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r</m:t>
            </m:r>
          </m:e>
          <m:sub>
            <m:r>
              <m:rPr/>
              <m:t>k</m:t>
            </m:r>
          </m:sub>
        </m:sSub>
      </m:oMath>
      <w:r>
        <w:t xml:space="preserve">，服务器持有 </w:t>
      </w:r>
      <m:oMath>
        <m:r>
          <m:rPr>
            <m:sty m:val="p"/>
          </m:rPr>
          <m:t>−</m:t>
        </m:r>
        <m:sSub>
          <m:sSubPr/>
          <m:e>
            <m:r>
              <m:rPr/>
              <m:t>r</m:t>
            </m:r>
          </m:e>
          <m:sub>
            <m:r>
              <m:rPr/>
              <m:t>k</m:t>
            </m:r>
          </m:sub>
        </m:sSub>
      </m:oMath>
      <w:r>
        <w:t>；模拟器对服务器侧只需采样均匀份额。</w:t>
      </w:r>
    </w:p>
    <w:p w14:paraId="69911248">
      <w:pPr>
        <w:pStyle w:val="23"/>
      </w:pPr>
      <w:r>
        <w:t>四段 hop 均为标准可组合替换（若追求完备性可用 Universal Composition 框架表述，但 TIFS 接受 game-hop 级别的模块化证明）。</w:t>
      </w:r>
      <m:oMath>
        <m:r>
          <m:rPr>
            <m:sty m:val="p"/>
          </m:rPr>
          <m:t>◼</m:t>
        </m:r>
      </m:oMath>
    </w:p>
    <w:p w14:paraId="1989A69C">
      <w:pPr>
        <w:pStyle w:val="3"/>
      </w:pPr>
      <w:r>
        <w:rPr>
          <w:b/>
          <w:bCs/>
        </w:rPr>
        <w:t>跨查询相关性论证</w:t>
      </w:r>
      <w:r>
        <w:t>：在 M1（掩码逐查询独立）成立下，</w:t>
      </w:r>
      <m:oMath>
        <m:r>
          <m:rPr/>
          <m:t>Q</m:t>
        </m:r>
      </m:oMath>
      <w:r>
        <w:t xml:space="preserve"> 次查询的联合视图可逐查询独立模拟；单查询安全 + 掩码独立性 ⟹ 多查询安全。若需要更强的”查询无链接性”（unlinkability），可额外引入会话随机化（每次查询用临时 re-encryption），在 Discussion 中说明开销。</w:t>
      </w:r>
    </w:p>
    <w:bookmarkEnd w:id="31"/>
    <w:p w14:paraId="3E4BA809">
      <w:pPr>
        <w:pStyle w:val="5"/>
      </w:pPr>
      <w:bookmarkStart w:id="32" w:name="scheduling-strategy-leakage-bound"/>
      <w:r>
        <w:t>6.5 Scheduling Strategy Leakage Bound</w:t>
      </w:r>
    </w:p>
    <w:p w14:paraId="611A2830">
      <w:pPr>
        <w:pStyle w:val="23"/>
      </w:pPr>
      <w:r>
        <w:t xml:space="preserve">调度向量 </w:t>
      </w:r>
      <m:oMath>
        <m:r>
          <m:rPr/>
          <m:t>s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sSup>
          <m:sSupPr/>
          <m:e>
            <m:r>
              <m:rPr>
                <m:sty m:val="p"/>
              </m:rPr>
              <m:t>}</m:t>
            </m:r>
          </m:e>
          <m:sup>
            <m:r>
              <m:rPr/>
              <m:t>K</m:t>
            </m:r>
          </m:sup>
        </m:sSup>
      </m:oMath>
      <w:r>
        <w:t xml:space="preserve"> 若对服务器公开，则泄漏上界为 </w:t>
      </w:r>
      <m:oMath>
        <m:r>
          <m:rPr/>
          <m:t>K</m:t>
        </m:r>
      </m:oMath>
      <w:r>
        <w:t xml:space="preserve"> bit 的结构性信息（哪些层走了哪条路径）。分析两点：</w:t>
      </w:r>
    </w:p>
    <w:p w14:paraId="332C050B">
      <w:pPr>
        <w:pStyle w:val="24"/>
        <w:numPr>
          <w:ilvl w:val="0"/>
          <w:numId w:val="9"/>
        </w:numPr>
      </w:pPr>
      <w:r>
        <w:rPr>
          <w:b/>
          <w:bCs/>
        </w:rPr>
        <w:t>泄漏内容</w:t>
      </w:r>
      <w:r>
        <w:t>：</w:t>
      </w:r>
      <m:oMath>
        <m:r>
          <m:rPr/>
          <m:t>s</m:t>
        </m:r>
      </m:oMath>
      <w:r>
        <w:t xml:space="preserve"> 取决于设备/网络 profile 而非输入 </w:t>
      </w:r>
      <m:oMath>
        <m:r>
          <m:rPr/>
          <m:t>x</m:t>
        </m:r>
      </m:oMath>
      <w:r>
        <w:t xml:space="preserve">，故 </w:t>
      </w:r>
      <m:oMath>
        <m:r>
          <m:rPr/>
          <m:t>s</m:t>
        </m:r>
      </m:oMath>
      <w:r>
        <w:t xml:space="preserve"> 本身不泄露输入；但它可能泄露”该客户端处于何种资源档位”，属于设备指纹侧信道——对在意设备隐私的场景，可采用</w:t>
      </w:r>
      <w:r>
        <w:rPr>
          <w:b/>
          <w:bCs/>
        </w:rPr>
        <w:t>调度混淆</w:t>
      </w:r>
      <w:r>
        <w:t xml:space="preserve">（dummy-round padding：HE-only 层也注入等量假交互，使服务器无法区分 </w:t>
      </w:r>
      <m:oMath>
        <m:r>
          <m:rPr/>
          <m:t>s</m:t>
        </m:r>
      </m:oMath>
      <w:r>
        <w:t xml:space="preserve">），代价是额外 </w:t>
      </w:r>
      <m:oMath>
        <m:f>
          <m:fPr/>
          <m:num>
            <m:r>
              <m:rPr/>
              <m:t>K</m:t>
            </m:r>
          </m:num>
          <m:den>
            <m:r>
              <m:rPr/>
              <m:t>2</m:t>
            </m:r>
          </m:den>
        </m:f>
      </m:oMath>
      <w:r>
        <w:t xml:space="preserve"> 轮左右通信，作为可配置安全档位报告；</w:t>
      </w:r>
    </w:p>
    <w:p w14:paraId="44B21E7A">
      <w:pPr>
        <w:pStyle w:val="24"/>
        <w:numPr>
          <w:ilvl w:val="0"/>
          <w:numId w:val="9"/>
        </w:numPr>
      </w:pPr>
      <w:r>
        <w:rPr>
          <w:b/>
          <w:bCs/>
        </w:rPr>
        <w:t>量化表述</w:t>
      </w:r>
      <w:r>
        <w:t xml:space="preserve">：无论是否混淆，泄漏量上界 </w:t>
      </w:r>
      <m:oMath>
        <m:r>
          <m:rPr>
            <m:sty m:val="p"/>
          </m:rPr>
          <m:t>∥</m:t>
        </m:r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∥≤</m:t>
        </m:r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2</m:t>
            </m:r>
          </m:sub>
        </m:sSub>
        <m:d>
          <m:dPr>
            <m:sepChr m:val=""/>
          </m:dPr>
          <m:e>
            <m:f>
              <m:fPr/>
              <m:num>
                <m:r>
                  <m:rPr/>
                  <m:t>K</m:t>
                </m:r>
              </m:num>
              <m:den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h</m:t>
                    </m:r>
                  </m:sub>
                </m:sSub>
              </m:den>
            </m:f>
          </m:e>
        </m:d>
        <m:r>
          <m:rPr>
            <m:sty m:val="p"/>
          </m:rPr>
          <m:t>+</m:t>
        </m:r>
        <m:r>
          <m:rPr>
            <m:nor/>
            <m:sty m:val="p"/>
          </m:rPr>
          <m:t>结构项</m:t>
        </m:r>
      </m:oMath>
      <w:r>
        <w:t xml:space="preserve">，论文中给出该界并说明 </w:t>
      </w:r>
      <m:oMath>
        <m:r>
          <m:rPr/>
          <m:t>K</m:t>
        </m:r>
        <m:r>
          <m:rPr>
            <m:sty m:val="p"/>
          </m:rPr>
          <m:t>≤</m:t>
        </m:r>
        <m:r>
          <m:rPr/>
          <m:t>10</m:t>
        </m:r>
      </m:oMath>
      <w:r>
        <w:t xml:space="preserve"> 量级下可忽略。</w:t>
      </w:r>
    </w:p>
    <w:bookmarkEnd w:id="27"/>
    <w:bookmarkEnd w:id="32"/>
    <w:p w14:paraId="2248C3A2">
      <w:pPr>
        <w:pStyle w:val="4"/>
      </w:pPr>
      <w:bookmarkStart w:id="33" w:name="实验结果展示"/>
      <w:r>
        <w:t>7. 实验结果展示</w:t>
      </w:r>
    </w:p>
    <w:p w14:paraId="332062C8">
      <w:pPr>
        <w:pStyle w:val="23"/>
        <w:rPr>
          <w:rFonts w:hint="eastAsia" w:eastAsia="宋体"/>
          <w:lang w:eastAsia="zh-CN"/>
        </w:rPr>
      </w:pPr>
      <w:r>
        <w:t>本章回答四个问题：（1）三种配置点（HE-only、Adaptive、Hybrid-all）的精度差多少，密文推理是否忠实于明文；（2）客户端在线开销与一次性开销在桌面机和真实边缘设备（Raspberry Pi 5）上各是多少；（3）交互轮数、通信量与链路 RTT 如何共同决定端到端延迟；（4）planner 的调度在什么条件下真正减少了交互成本。标注“模型值”或“换算值”的数字由解析模型或成本模型给出，不是端到端实测</w:t>
      </w:r>
      <w:r>
        <w:rPr>
          <w:rFonts w:hint="eastAsia"/>
          <w:lang w:eastAsia="zh-CN"/>
        </w:rPr>
        <w:t>。</w:t>
      </w:r>
    </w:p>
    <w:p w14:paraId="2E5182C8">
      <w:pPr>
        <w:pStyle w:val="5"/>
      </w:pPr>
      <w:bookmarkStart w:id="34" w:name="实验设置"/>
      <w:r>
        <w:t>7.1 实验设置</w:t>
      </w:r>
    </w:p>
    <w:p w14:paraId="7DD0D9A4">
      <w:pPr>
        <w:pStyle w:val="23"/>
      </w:pPr>
      <w:r>
        <w:rPr>
          <w:b/>
          <w:bCs/>
        </w:rPr>
        <w:t>数据集。</w:t>
      </w:r>
      <w:r>
        <w:t xml:space="preserve"> 实验使用三个公开数据集，覆盖灰度图像、彩色图像与可穿戴传感器时序三类输入（表 7-1）。</w:t>
      </w:r>
    </w:p>
    <w:p w14:paraId="5AB1E5FC">
      <w:pPr>
        <w:pStyle w:val="44"/>
      </w:pPr>
      <w:r>
        <w:t>表 7-1：数据集与实验用途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017"/>
        <w:gridCol w:w="2712"/>
        <w:gridCol w:w="847"/>
        <w:gridCol w:w="1610"/>
        <w:gridCol w:w="2884"/>
      </w:tblGrid>
      <w:tr w14:paraId="2B61B8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017" w:type="dxa"/>
            <w:vAlign w:val="center"/>
          </w:tcPr>
          <w:p w14:paraId="338F6D48">
            <w:pPr>
              <w:pStyle w:val="84"/>
              <w:jc w:val="left"/>
            </w:pPr>
            <w:r>
              <w:t>数据集</w:t>
            </w:r>
          </w:p>
        </w:tc>
        <w:tc>
          <w:tcPr>
            <w:tcW w:w="2712" w:type="dxa"/>
            <w:vAlign w:val="center"/>
          </w:tcPr>
          <w:p w14:paraId="70D4F6E9">
            <w:pPr>
              <w:pStyle w:val="84"/>
              <w:jc w:val="left"/>
            </w:pPr>
            <w:r>
              <w:t>输入</w:t>
            </w:r>
          </w:p>
        </w:tc>
        <w:tc>
          <w:tcPr>
            <w:tcW w:w="847" w:type="dxa"/>
            <w:vAlign w:val="center"/>
          </w:tcPr>
          <w:p w14:paraId="1D292C85">
            <w:pPr>
              <w:pStyle w:val="84"/>
              <w:jc w:val="center"/>
            </w:pPr>
            <w:r>
              <w:t>类别数</w:t>
            </w:r>
          </w:p>
        </w:tc>
        <w:tc>
          <w:tcPr>
            <w:tcW w:w="1610" w:type="dxa"/>
            <w:vAlign w:val="center"/>
          </w:tcPr>
          <w:p w14:paraId="36B088F6">
            <w:pPr>
              <w:pStyle w:val="84"/>
              <w:jc w:val="center"/>
            </w:pPr>
            <w:r>
              <w:t>训练 / 测试</w:t>
            </w:r>
          </w:p>
        </w:tc>
        <w:tc>
          <w:tcPr>
            <w:tcW w:w="2884" w:type="dxa"/>
            <w:vAlign w:val="center"/>
          </w:tcPr>
          <w:p w14:paraId="16D52E54">
            <w:pPr>
              <w:pStyle w:val="84"/>
              <w:jc w:val="left"/>
            </w:pPr>
            <w:r>
              <w:t>实验用途</w:t>
            </w:r>
          </w:p>
        </w:tc>
      </w:tr>
      <w:tr w14:paraId="0626BB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17" w:type="dxa"/>
            <w:vAlign w:val="center"/>
          </w:tcPr>
          <w:p w14:paraId="0E503EBF">
            <w:pPr>
              <w:pStyle w:val="84"/>
              <w:jc w:val="left"/>
            </w:pPr>
            <w:r>
              <w:t>MNIST</w:t>
            </w:r>
          </w:p>
        </w:tc>
        <w:tc>
          <w:tcPr>
            <w:tcW w:w="2712" w:type="dxa"/>
            <w:vAlign w:val="center"/>
          </w:tcPr>
          <w:p w14:paraId="2DAEE3DA">
            <w:pPr>
              <w:pStyle w:val="84"/>
              <w:jc w:val="left"/>
            </w:pPr>
            <w:r>
              <w:t>28×28 灰度手写数字</w:t>
            </w:r>
          </w:p>
        </w:tc>
        <w:tc>
          <w:tcPr>
            <w:tcW w:w="847" w:type="dxa"/>
            <w:vAlign w:val="center"/>
          </w:tcPr>
          <w:p w14:paraId="02852E86">
            <w:pPr>
              <w:pStyle w:val="84"/>
              <w:jc w:val="center"/>
            </w:pPr>
            <w:r>
              <w:t>10</w:t>
            </w:r>
          </w:p>
        </w:tc>
        <w:tc>
          <w:tcPr>
            <w:tcW w:w="1610" w:type="dxa"/>
            <w:vAlign w:val="center"/>
          </w:tcPr>
          <w:p w14:paraId="021FA5E6">
            <w:pPr>
              <w:pStyle w:val="84"/>
              <w:jc w:val="center"/>
            </w:pPr>
            <w:r>
              <w:t>60,000 / 10,000</w:t>
            </w:r>
          </w:p>
        </w:tc>
        <w:tc>
          <w:tcPr>
            <w:tcW w:w="2884" w:type="dxa"/>
            <w:vAlign w:val="center"/>
          </w:tcPr>
          <w:p w14:paraId="534E37B1">
            <w:pPr>
              <w:pStyle w:val="84"/>
              <w:jc w:val="left"/>
            </w:pPr>
            <w:r>
              <w:t>轻量模型、HE 流程与协议正确性验证</w:t>
            </w:r>
          </w:p>
        </w:tc>
      </w:tr>
      <w:tr w14:paraId="77BD03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17" w:type="dxa"/>
            <w:vAlign w:val="center"/>
          </w:tcPr>
          <w:p w14:paraId="4EF2847B">
            <w:pPr>
              <w:pStyle w:val="84"/>
              <w:jc w:val="left"/>
            </w:pPr>
            <w:r>
              <w:t>CIFAR-10</w:t>
            </w:r>
          </w:p>
        </w:tc>
        <w:tc>
          <w:tcPr>
            <w:tcW w:w="2712" w:type="dxa"/>
            <w:vAlign w:val="center"/>
          </w:tcPr>
          <w:p w14:paraId="1B91EF62">
            <w:pPr>
              <w:pStyle w:val="84"/>
              <w:jc w:val="left"/>
            </w:pPr>
            <w:r>
              <w:t>32×32 RGB 自然图像</w:t>
            </w:r>
          </w:p>
        </w:tc>
        <w:tc>
          <w:tcPr>
            <w:tcW w:w="847" w:type="dxa"/>
            <w:vAlign w:val="center"/>
          </w:tcPr>
          <w:p w14:paraId="67A30FFF">
            <w:pPr>
              <w:pStyle w:val="84"/>
              <w:jc w:val="center"/>
            </w:pPr>
            <w:r>
              <w:t>10</w:t>
            </w:r>
          </w:p>
        </w:tc>
        <w:tc>
          <w:tcPr>
            <w:tcW w:w="1610" w:type="dxa"/>
            <w:vAlign w:val="center"/>
          </w:tcPr>
          <w:p w14:paraId="53853D58">
            <w:pPr>
              <w:pStyle w:val="84"/>
              <w:jc w:val="center"/>
            </w:pPr>
            <w:r>
              <w:t>50,000 / 10,000</w:t>
            </w:r>
          </w:p>
        </w:tc>
        <w:tc>
          <w:tcPr>
            <w:tcW w:w="2884" w:type="dxa"/>
            <w:vAlign w:val="center"/>
          </w:tcPr>
          <w:p w14:paraId="2A71C513">
            <w:pPr>
              <w:pStyle w:val="84"/>
              <w:jc w:val="left"/>
            </w:pPr>
            <w:r>
              <w:t>视觉分类主实验、调度与深度扩展实验</w:t>
            </w:r>
          </w:p>
        </w:tc>
      </w:tr>
      <w:tr w14:paraId="6FB1A4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17" w:type="dxa"/>
            <w:vAlign w:val="center"/>
          </w:tcPr>
          <w:p w14:paraId="793739C0">
            <w:pPr>
              <w:pStyle w:val="84"/>
              <w:jc w:val="left"/>
            </w:pPr>
            <w:r>
              <w:t>UCI HAR</w:t>
            </w:r>
          </w:p>
        </w:tc>
        <w:tc>
          <w:tcPr>
            <w:tcW w:w="2712" w:type="dxa"/>
            <w:vAlign w:val="center"/>
          </w:tcPr>
          <w:p w14:paraId="1F7B0300">
            <w:pPr>
              <w:pStyle w:val="84"/>
              <w:jc w:val="left"/>
            </w:pPr>
            <w:r>
              <w:t>手机加速度计与陀螺仪时序信号</w:t>
            </w:r>
          </w:p>
        </w:tc>
        <w:tc>
          <w:tcPr>
            <w:tcW w:w="847" w:type="dxa"/>
            <w:vAlign w:val="center"/>
          </w:tcPr>
          <w:p w14:paraId="65AC76BF">
            <w:pPr>
              <w:pStyle w:val="84"/>
              <w:jc w:val="center"/>
            </w:pPr>
            <w:r>
              <w:t>6</w:t>
            </w:r>
          </w:p>
        </w:tc>
        <w:tc>
          <w:tcPr>
            <w:tcW w:w="1610" w:type="dxa"/>
            <w:vAlign w:val="center"/>
          </w:tcPr>
          <w:p w14:paraId="4C1F35A2">
            <w:pPr>
              <w:pStyle w:val="84"/>
              <w:jc w:val="center"/>
            </w:pPr>
            <w:r>
              <w:t>7,352 / 2,947</w:t>
            </w:r>
          </w:p>
        </w:tc>
        <w:tc>
          <w:tcPr>
            <w:tcW w:w="2884" w:type="dxa"/>
            <w:vAlign w:val="center"/>
          </w:tcPr>
          <w:p w14:paraId="05163983">
            <w:pPr>
              <w:pStyle w:val="84"/>
              <w:jc w:val="left"/>
            </w:pPr>
            <w:r>
              <w:t>可穿戴设备场景的时序分类</w:t>
            </w:r>
          </w:p>
        </w:tc>
      </w:tr>
    </w:tbl>
    <w:p w14:paraId="052CE069">
      <w:pPr>
        <w:pStyle w:val="3"/>
      </w:pPr>
      <w:r>
        <w:rPr>
          <w:b/>
          <w:bCs/>
        </w:rPr>
        <w:t>模型。</w:t>
      </w:r>
      <w:r>
        <w:t xml:space="preserve"> 由于 CKKS 只能执行有限次同态乘法（当前参数下乘法深度预算为 6），三个数据集各使用一个两非线性层的 canonical 同态友好网络（表 7-2）。四种调度 </w:t>
      </w:r>
      <w:r>
        <w:rPr>
          <w:i/>
          <w:iCs/>
        </w:rPr>
        <w:t>s</w:t>
      </w:r>
      <w:r>
        <w:t xml:space="preserve"> ∈ {00, 01, 10, 11} 共用同一架构，</w:t>
      </w:r>
      <w:r>
        <w:rPr>
          <w:i/>
          <w:iCs/>
        </w:rPr>
        <w:t>s</w:t>
      </w:r>
      <w:r>
        <w:rPr>
          <w:vertAlign w:val="subscript"/>
        </w:rPr>
        <w:t>k</w:t>
      </w:r>
      <w:r>
        <w:t xml:space="preserve"> = 0 表示第 </w:t>
      </w:r>
      <w:r>
        <w:rPr>
          <w:i/>
          <w:iCs/>
        </w:rPr>
        <w:t>k</w:t>
      </w:r>
      <w:r>
        <w:t xml:space="preserve"> 个非线性层采用 P</w:t>
      </w:r>
      <w:r>
        <w:rPr>
          <w:vertAlign w:val="subscript"/>
        </w:rPr>
        <w:t>2</w:t>
      </w:r>
      <w:r>
        <w:t>(</w:t>
      </w:r>
      <w:r>
        <w:rPr>
          <w:i/>
          <w:iCs/>
        </w:rPr>
        <w:t>x</w:t>
      </w:r>
      <w:r>
        <w:t>) = 0.0625 + 0.5</w:t>
      </w:r>
      <w:r>
        <w:rPr>
          <w:i/>
          <w:iCs/>
        </w:rPr>
        <w:t>x</w:t>
      </w:r>
      <w:r>
        <w:t xml:space="preserve"> + 0.5</w:t>
      </w:r>
      <w:r>
        <w:rPr>
          <w:i/>
          <w:iCs/>
        </w:rPr>
        <w:t>x</w:t>
      </w:r>
      <w:r>
        <w:rPr>
          <w:vertAlign w:val="superscript"/>
        </w:rPr>
        <w:t>2</w:t>
      </w:r>
      <w:r>
        <w:t>，</w:t>
      </w:r>
      <w:r>
        <w:rPr>
          <w:i/>
          <w:iCs/>
        </w:rPr>
        <w:t>s</w:t>
      </w:r>
      <w:r>
        <w:rPr>
          <w:vertAlign w:val="subscript"/>
        </w:rPr>
        <w:t>k</w:t>
      </w:r>
      <w:r>
        <w:t xml:space="preserve"> = 1 表示采用精确 ReLU（Hybrid 原语）；每种调度按其激活组合单独训练（“训练即 HE 友好”），其中 </w:t>
      </w:r>
      <w:r>
        <w:rPr>
          <w:i/>
          <w:iCs/>
        </w:rPr>
        <w:t>s</w:t>
      </w:r>
      <w:r>
        <w:t xml:space="preserve"> = 11 即 ReLU 孪生网。CIFAR-10 的 canonical 模型采用灰度输入。另设两组 CIFAR-10 深层扩展模型（FC-deep 与 RGB + BatchNorm 的 VGG 式卷积网络，见表 7-6），目前只有明文结果。</w:t>
      </w:r>
    </w:p>
    <w:p w14:paraId="482466FF">
      <w:pPr>
        <w:pStyle w:val="44"/>
      </w:pPr>
      <w:r>
        <w:t>表 7-2：canonical 同态友好网络结构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950"/>
        <w:gridCol w:w="3315"/>
        <w:gridCol w:w="1560"/>
        <w:gridCol w:w="1170"/>
        <w:gridCol w:w="1075"/>
      </w:tblGrid>
      <w:tr w14:paraId="6CB7BC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950" w:type="dxa"/>
            <w:vAlign w:val="center"/>
          </w:tcPr>
          <w:p w14:paraId="3C837AB7">
            <w:pPr>
              <w:pStyle w:val="84"/>
              <w:jc w:val="left"/>
            </w:pPr>
            <w:r>
              <w:t>数据集</w:t>
            </w:r>
          </w:p>
        </w:tc>
        <w:tc>
          <w:tcPr>
            <w:tcW w:w="3315" w:type="dxa"/>
            <w:vAlign w:val="center"/>
          </w:tcPr>
          <w:p w14:paraId="2C47CC58">
            <w:pPr>
              <w:pStyle w:val="84"/>
              <w:jc w:val="left"/>
            </w:pPr>
            <w:r>
              <w:t>网络结构</w:t>
            </w:r>
          </w:p>
        </w:tc>
        <w:tc>
          <w:tcPr>
            <w:tcW w:w="1560" w:type="dxa"/>
            <w:vAlign w:val="center"/>
          </w:tcPr>
          <w:p w14:paraId="22CE8077">
            <w:pPr>
              <w:pStyle w:val="84"/>
              <w:jc w:val="center"/>
            </w:pPr>
            <w:r>
              <w:t>非线性层维度</w:t>
            </w:r>
          </w:p>
        </w:tc>
        <w:tc>
          <w:tcPr>
            <w:tcW w:w="1170" w:type="dxa"/>
            <w:vAlign w:val="center"/>
          </w:tcPr>
          <w:p w14:paraId="1C8112B6">
            <w:pPr>
              <w:pStyle w:val="84"/>
              <w:jc w:val="center"/>
            </w:pPr>
            <w:r>
              <w:t>编码槽位</w:t>
            </w:r>
          </w:p>
        </w:tc>
        <w:tc>
          <w:tcPr>
            <w:tcW w:w="1075" w:type="dxa"/>
            <w:vAlign w:val="center"/>
          </w:tcPr>
          <w:p w14:paraId="3E1BDFF2">
            <w:pPr>
              <w:pStyle w:val="84"/>
              <w:jc w:val="center"/>
            </w:pPr>
            <w:r>
              <w:t>参数量</w:t>
            </w:r>
          </w:p>
        </w:tc>
      </w:tr>
      <w:tr w14:paraId="212942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950" w:type="dxa"/>
            <w:vAlign w:val="center"/>
          </w:tcPr>
          <w:p w14:paraId="3D6CF7BB">
            <w:pPr>
              <w:pStyle w:val="84"/>
              <w:jc w:val="left"/>
            </w:pPr>
            <w:r>
              <w:t>MNIST</w:t>
            </w:r>
          </w:p>
        </w:tc>
        <w:tc>
          <w:tcPr>
            <w:tcW w:w="3315" w:type="dxa"/>
            <w:vAlign w:val="center"/>
          </w:tcPr>
          <w:p w14:paraId="4B614712">
            <w:pPr>
              <w:pStyle w:val="84"/>
              <w:jc w:val="left"/>
            </w:pPr>
            <w:r>
              <w:t>Conv(4, 7×7, s3) → σ</w:t>
            </w:r>
            <w:r>
              <w:rPr>
                <w:vertAlign w:val="subscript"/>
              </w:rPr>
              <w:t>1</w:t>
            </w:r>
            <w:r>
              <w:t xml:space="preserve"> → FC(256→64) → σ</w:t>
            </w:r>
            <w:r>
              <w:rPr>
                <w:vertAlign w:val="subscript"/>
              </w:rPr>
              <w:t>2</w:t>
            </w:r>
            <w:r>
              <w:t xml:space="preserve"> → FC(64→10)</w:t>
            </w:r>
          </w:p>
        </w:tc>
        <w:tc>
          <w:tcPr>
            <w:tcW w:w="1560" w:type="dxa"/>
            <w:vAlign w:val="center"/>
          </w:tcPr>
          <w:p w14:paraId="3E2B5DE3">
            <w:pPr>
              <w:pStyle w:val="84"/>
              <w:jc w:val="center"/>
            </w:pPr>
            <w:r>
              <w:t>256 / 64</w:t>
            </w:r>
          </w:p>
        </w:tc>
        <w:tc>
          <w:tcPr>
            <w:tcW w:w="1170" w:type="dxa"/>
            <w:vAlign w:val="center"/>
          </w:tcPr>
          <w:p w14:paraId="3B0192A5">
            <w:pPr>
              <w:pStyle w:val="84"/>
              <w:jc w:val="center"/>
            </w:pPr>
            <w:r>
              <w:t>4,096</w:t>
            </w:r>
          </w:p>
        </w:tc>
        <w:tc>
          <w:tcPr>
            <w:tcW w:w="1075" w:type="dxa"/>
            <w:vAlign w:val="center"/>
          </w:tcPr>
          <w:p w14:paraId="7EA9592B">
            <w:pPr>
              <w:pStyle w:val="84"/>
              <w:jc w:val="center"/>
            </w:pPr>
            <w:r>
              <w:t>17,298</w:t>
            </w:r>
          </w:p>
        </w:tc>
      </w:tr>
      <w:tr w14:paraId="57E619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950" w:type="dxa"/>
            <w:vAlign w:val="center"/>
          </w:tcPr>
          <w:p w14:paraId="70E5FE4D">
            <w:pPr>
              <w:pStyle w:val="84"/>
              <w:jc w:val="left"/>
            </w:pPr>
            <w:r>
              <w:t>CIFAR-10（灰度）</w:t>
            </w:r>
          </w:p>
        </w:tc>
        <w:tc>
          <w:tcPr>
            <w:tcW w:w="3315" w:type="dxa"/>
            <w:vAlign w:val="center"/>
          </w:tcPr>
          <w:p w14:paraId="6C19DF22">
            <w:pPr>
              <w:pStyle w:val="84"/>
              <w:jc w:val="left"/>
            </w:pPr>
            <w:r>
              <w:t>Conv(12, 5×5, s3) → σ</w:t>
            </w:r>
            <w:r>
              <w:rPr>
                <w:vertAlign w:val="subscript"/>
              </w:rPr>
              <w:t>1</w:t>
            </w:r>
            <w:r>
              <w:t xml:space="preserve"> → FC(1200→128) → σ</w:t>
            </w:r>
            <w:r>
              <w:rPr>
                <w:vertAlign w:val="subscript"/>
              </w:rPr>
              <w:t>2</w:t>
            </w:r>
            <w:r>
              <w:t xml:space="preserve"> → FC(128→10)</w:t>
            </w:r>
          </w:p>
        </w:tc>
        <w:tc>
          <w:tcPr>
            <w:tcW w:w="1560" w:type="dxa"/>
            <w:vAlign w:val="center"/>
          </w:tcPr>
          <w:p w14:paraId="238DB662">
            <w:pPr>
              <w:pStyle w:val="84"/>
              <w:jc w:val="center"/>
            </w:pPr>
            <w:r>
              <w:t>1,200 / 128</w:t>
            </w:r>
          </w:p>
        </w:tc>
        <w:tc>
          <w:tcPr>
            <w:tcW w:w="1170" w:type="dxa"/>
            <w:vAlign w:val="center"/>
          </w:tcPr>
          <w:p w14:paraId="4C8BE0AC">
            <w:pPr>
              <w:pStyle w:val="84"/>
              <w:jc w:val="center"/>
            </w:pPr>
            <w:r>
              <w:t>3,200</w:t>
            </w:r>
          </w:p>
        </w:tc>
        <w:tc>
          <w:tcPr>
            <w:tcW w:w="1075" w:type="dxa"/>
            <w:vAlign w:val="center"/>
          </w:tcPr>
          <w:p w14:paraId="28F28D8D">
            <w:pPr>
              <w:pStyle w:val="84"/>
              <w:jc w:val="center"/>
            </w:pPr>
            <w:r>
              <w:t>155,330</w:t>
            </w:r>
          </w:p>
        </w:tc>
      </w:tr>
      <w:tr w14:paraId="43B846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950" w:type="dxa"/>
            <w:vAlign w:val="center"/>
          </w:tcPr>
          <w:p w14:paraId="01077FE8">
            <w:pPr>
              <w:pStyle w:val="84"/>
              <w:jc w:val="left"/>
            </w:pPr>
            <w:r>
              <w:t>UCI HAR</w:t>
            </w:r>
          </w:p>
        </w:tc>
        <w:tc>
          <w:tcPr>
            <w:tcW w:w="3315" w:type="dxa"/>
            <w:vAlign w:val="center"/>
          </w:tcPr>
          <w:p w14:paraId="44FE606B">
            <w:pPr>
              <w:pStyle w:val="84"/>
              <w:jc w:val="left"/>
            </w:pPr>
            <w:r>
              <w:t>Conv(12, 3×9, s2) → σ</w:t>
            </w:r>
            <w:r>
              <w:rPr>
                <w:vertAlign w:val="subscript"/>
              </w:rPr>
              <w:t>1</w:t>
            </w:r>
            <w:r>
              <w:t xml:space="preserve"> → FC(756→128) → σ</w:t>
            </w:r>
            <w:r>
              <w:rPr>
                <w:vertAlign w:val="subscript"/>
              </w:rPr>
              <w:t>2</w:t>
            </w:r>
            <w:r>
              <w:t xml:space="preserve"> → FC(128→6)</w:t>
            </w:r>
          </w:p>
        </w:tc>
        <w:tc>
          <w:tcPr>
            <w:tcW w:w="1560" w:type="dxa"/>
            <w:vAlign w:val="center"/>
          </w:tcPr>
          <w:p w14:paraId="63CF9734">
            <w:pPr>
              <w:pStyle w:val="84"/>
              <w:jc w:val="center"/>
            </w:pPr>
            <w:r>
              <w:t>756 / 128</w:t>
            </w:r>
          </w:p>
        </w:tc>
        <w:tc>
          <w:tcPr>
            <w:tcW w:w="1170" w:type="dxa"/>
            <w:vAlign w:val="center"/>
          </w:tcPr>
          <w:p w14:paraId="7C96DFA4">
            <w:pPr>
              <w:pStyle w:val="84"/>
              <w:jc w:val="center"/>
            </w:pPr>
            <w:r>
              <w:t>2,016</w:t>
            </w:r>
          </w:p>
        </w:tc>
        <w:tc>
          <w:tcPr>
            <w:tcW w:w="1075" w:type="dxa"/>
            <w:vAlign w:val="center"/>
          </w:tcPr>
          <w:p w14:paraId="44F3C28D">
            <w:pPr>
              <w:pStyle w:val="84"/>
              <w:jc w:val="center"/>
            </w:pPr>
            <w:r>
              <w:t>98,006</w:t>
            </w:r>
          </w:p>
        </w:tc>
      </w:tr>
    </w:tbl>
    <w:p w14:paraId="615F5E33">
      <w:pPr>
        <w:pStyle w:val="3"/>
        <w:rPr>
          <w:rFonts w:hint="eastAsia" w:eastAsia="宋体"/>
          <w:lang w:eastAsia="zh-CN"/>
        </w:rPr>
      </w:pPr>
      <w:r>
        <w:rPr>
          <w:b/>
          <w:bCs/>
        </w:rPr>
        <w:t>实现与环境。</w:t>
      </w:r>
      <w:r>
        <w:t xml:space="preserve"> 表 7-3 列出实现组件与运行环境。时延类指标只在同一台机器内比较，</w:t>
      </w:r>
      <w:r>
        <w:rPr>
          <w:rFonts w:hint="eastAsia"/>
          <w:lang w:val="en-US" w:eastAsia="zh-CN"/>
        </w:rPr>
        <w:t>无</w:t>
      </w:r>
      <w:r>
        <w:t>机器混算</w:t>
      </w:r>
      <w:r>
        <w:rPr>
          <w:rFonts w:hint="eastAsia"/>
          <w:lang w:eastAsia="zh-CN"/>
        </w:rPr>
        <w:t>。</w:t>
      </w:r>
    </w:p>
    <w:p w14:paraId="370FB71C">
      <w:pPr>
        <w:pStyle w:val="44"/>
      </w:pPr>
      <w:r>
        <w:t>表 7-3：实现组件与运行环境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563"/>
        <w:gridCol w:w="5507"/>
      </w:tblGrid>
      <w:tr w14:paraId="346039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563" w:type="dxa"/>
            <w:vAlign w:val="center"/>
          </w:tcPr>
          <w:p w14:paraId="158BB40B">
            <w:pPr>
              <w:pStyle w:val="84"/>
              <w:jc w:val="left"/>
            </w:pPr>
            <w:r>
              <w:t>组件</w:t>
            </w:r>
          </w:p>
        </w:tc>
        <w:tc>
          <w:tcPr>
            <w:tcW w:w="5507" w:type="dxa"/>
            <w:vAlign w:val="center"/>
          </w:tcPr>
          <w:p w14:paraId="0AA11B35">
            <w:pPr>
              <w:pStyle w:val="84"/>
              <w:jc w:val="left"/>
            </w:pPr>
            <w:r>
              <w:t>当前实现</w:t>
            </w:r>
          </w:p>
        </w:tc>
      </w:tr>
      <w:tr w14:paraId="550BB0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3B975483">
            <w:pPr>
              <w:pStyle w:val="84"/>
              <w:jc w:val="left"/>
            </w:pPr>
            <w:r>
              <w:t>HE 后端</w:t>
            </w:r>
          </w:p>
        </w:tc>
        <w:tc>
          <w:tcPr>
            <w:tcW w:w="5507" w:type="dxa"/>
            <w:vAlign w:val="center"/>
          </w:tcPr>
          <w:p w14:paraId="2DCC5171">
            <w:pPr>
              <w:pStyle w:val="84"/>
              <w:jc w:val="left"/>
            </w:pPr>
            <w:r>
              <w:t xml:space="preserve">SEAL 4.1.2（C++，经 pybind11 封装为 </w:t>
            </w:r>
            <w:r>
              <w:rPr>
                <w:rStyle w:val="48"/>
              </w:rPr>
              <w:t>litepi_seal</w:t>
            </w:r>
            <w:r>
              <w:t>）；TenSEAL 仅作对照</w:t>
            </w:r>
          </w:p>
        </w:tc>
      </w:tr>
      <w:tr w14:paraId="593ABD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4A50B7F3">
            <w:pPr>
              <w:pStyle w:val="84"/>
              <w:jc w:val="left"/>
            </w:pPr>
            <w:r>
              <w:t>CKKS 参数</w:t>
            </w:r>
          </w:p>
        </w:tc>
        <w:tc>
          <w:tcPr>
            <w:tcW w:w="5507" w:type="dxa"/>
            <w:vAlign w:val="center"/>
          </w:tcPr>
          <w:p w14:paraId="1211440E">
            <w:pPr>
              <w:pStyle w:val="84"/>
              <w:jc w:val="left"/>
            </w:pPr>
            <w:r>
              <w:rPr>
                <w:i/>
                <w:iCs/>
              </w:rPr>
              <w:t>N</w:t>
            </w:r>
            <w:r>
              <w:t xml:space="preserve"> = 8192，coeff_mod_bit_sizes = [40, 21×6, 40]，scale 2</w:t>
            </w:r>
            <w:r>
              <w:rPr>
                <w:vertAlign w:val="superscript"/>
              </w:rPr>
              <w:t>21</w:t>
            </w:r>
            <w:r>
              <w:t>，4,096 槽位，乘法深度预算 6</w:t>
            </w:r>
          </w:p>
        </w:tc>
      </w:tr>
      <w:tr w14:paraId="011F1A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5EE1EC43">
            <w:pPr>
              <w:pStyle w:val="84"/>
              <w:jc w:val="left"/>
            </w:pPr>
            <w:r>
              <w:t>MPC 后端</w:t>
            </w:r>
          </w:p>
        </w:tc>
        <w:tc>
          <w:tcPr>
            <w:tcW w:w="5507" w:type="dxa"/>
            <w:vAlign w:val="center"/>
          </w:tcPr>
          <w:p w14:paraId="09FA9248">
            <w:pPr>
              <w:pStyle w:val="84"/>
              <w:jc w:val="left"/>
            </w:pPr>
            <w:r>
              <w:t xml:space="preserve">SCI / CrypTFlow2（经 pybind11 封装为 </w:t>
            </w:r>
            <w:r>
              <w:rPr>
                <w:rStyle w:val="48"/>
              </w:rPr>
              <w:t>litepi_sci</w:t>
            </w:r>
            <w:r>
              <w:t>），环位宽 44 bit；Python OT/GMW 实现仅作回退路径与对照</w:t>
            </w:r>
          </w:p>
        </w:tc>
      </w:tr>
      <w:tr w14:paraId="00B201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2CF5B824">
            <w:pPr>
              <w:pStyle w:val="84"/>
              <w:jc w:val="left"/>
            </w:pPr>
            <w:r>
              <w:t>运行时</w:t>
            </w:r>
          </w:p>
        </w:tc>
        <w:tc>
          <w:tcPr>
            <w:tcW w:w="5507" w:type="dxa"/>
            <w:vAlign w:val="center"/>
          </w:tcPr>
          <w:p w14:paraId="0535DD53">
            <w:pPr>
              <w:pStyle w:val="84"/>
              <w:jc w:val="left"/>
            </w:pPr>
            <w:r>
              <w:t>Python 3.11；远程容器批量实验为 Python 3.10</w:t>
            </w:r>
          </w:p>
        </w:tc>
      </w:tr>
      <w:tr w14:paraId="07EA34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44038F6F">
            <w:pPr>
              <w:pStyle w:val="84"/>
              <w:jc w:val="left"/>
            </w:pPr>
            <w:r>
              <w:t>桌面机</w:t>
            </w:r>
          </w:p>
        </w:tc>
        <w:tc>
          <w:tcPr>
            <w:tcW w:w="5507" w:type="dxa"/>
            <w:vAlign w:val="center"/>
          </w:tcPr>
          <w:p w14:paraId="7FDAF782">
            <w:pPr>
              <w:pStyle w:val="84"/>
              <w:jc w:val="left"/>
            </w:pPr>
            <w:r>
              <w:t>Intel Core Ultra 5 125H（WSL2）：客户端开销、netem 端到端、Delphi 基线</w:t>
            </w:r>
          </w:p>
        </w:tc>
      </w:tr>
      <w:tr w14:paraId="286C34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2A25D09A">
            <w:pPr>
              <w:pStyle w:val="84"/>
              <w:jc w:val="left"/>
            </w:pPr>
            <w:r>
              <w:t>远程容器（101 号）</w:t>
            </w:r>
          </w:p>
        </w:tc>
        <w:tc>
          <w:tcPr>
            <w:tcW w:w="5507" w:type="dxa"/>
            <w:vAlign w:val="center"/>
          </w:tcPr>
          <w:p w14:paraId="412B327F">
            <w:pPr>
              <w:pStyle w:val="84"/>
              <w:jc w:val="left"/>
            </w:pPr>
            <w:r>
              <w:t>24 核 + RTX 4090：Hybrid 密文评测、深层网络训练</w:t>
            </w:r>
          </w:p>
        </w:tc>
      </w:tr>
      <w:tr w14:paraId="69ADB2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755EAD78">
            <w:pPr>
              <w:pStyle w:val="84"/>
              <w:jc w:val="left"/>
            </w:pPr>
            <w:r>
              <w:t>边缘客户端</w:t>
            </w:r>
          </w:p>
        </w:tc>
        <w:tc>
          <w:tcPr>
            <w:tcW w:w="5507" w:type="dxa"/>
            <w:vAlign w:val="center"/>
          </w:tcPr>
          <w:p w14:paraId="4E3F4B82">
            <w:pPr>
              <w:pStyle w:val="84"/>
              <w:jc w:val="left"/>
            </w:pPr>
            <w:r>
              <w:t>Raspberry Pi 5（4 核 2.4 GHz，Debian 13，Python 3.13.5，SEAL 4.1.2 aarch64，performance 调频、关闭 swap、全程无降频）</w:t>
            </w:r>
          </w:p>
        </w:tc>
      </w:tr>
      <w:tr w14:paraId="004F33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1EF0B51E">
            <w:pPr>
              <w:pStyle w:val="84"/>
              <w:jc w:val="left"/>
            </w:pPr>
            <w:r>
              <w:t>安全参数</w:t>
            </w:r>
          </w:p>
        </w:tc>
        <w:tc>
          <w:tcPr>
            <w:tcW w:w="5507" w:type="dxa"/>
            <w:vAlign w:val="center"/>
          </w:tcPr>
          <w:p w14:paraId="6731593B">
            <w:pPr>
              <w:pStyle w:val="84"/>
              <w:jc w:val="left"/>
            </w:pPr>
            <w:r>
              <w:t>目标 128-bit；当前 CKKS 参数的 lattice-estimator 校核【待补】</w:t>
            </w:r>
          </w:p>
        </w:tc>
      </w:tr>
    </w:tbl>
    <w:p w14:paraId="5C72C864">
      <w:pPr>
        <w:pStyle w:val="3"/>
      </w:pPr>
      <w:r>
        <w:rPr>
          <w:b/>
          <w:bCs/>
        </w:rPr>
        <w:t>统计口径。</w:t>
      </w:r>
      <w:r>
        <w:t xml:space="preserve"> canonical 模型使用 5 个随机种子（73–77），报告“均值 ± 样本标准差”；明文精度在完整测试集上评估。客户端开销每种子 5 个样本 × 5 次重复（预热 3 次丢弃）。CIFAR-10 与 UCI HAR 在桌面机上的 seed 73 是 5 个评测进程并发时测的，计时类指标已剔除该种子（按 4 个种子聚合）。</w:t>
      </w:r>
    </w:p>
    <w:bookmarkEnd w:id="34"/>
    <w:p w14:paraId="5EB23E11">
      <w:pPr>
        <w:pStyle w:val="5"/>
      </w:pPr>
      <w:bookmarkStart w:id="35" w:name="accuracy"/>
      <w:r>
        <w:t>7.2 Accuracy</w:t>
      </w:r>
    </w:p>
    <w:p w14:paraId="689F497A">
      <w:pPr>
        <w:pStyle w:val="23"/>
      </w:pPr>
      <w:r>
        <w:rPr>
          <w:b/>
          <w:bCs/>
        </w:rPr>
        <w:t>明文精度与多项式代价。</w:t>
      </w:r>
      <w:r>
        <w:t xml:space="preserve"> 表 7-4 给出 canonical 模型在四种调度下的明文精度。由于每种调度单独训练，</w:t>
      </w:r>
      <w:r>
        <w:rPr>
          <w:i/>
          <w:iCs/>
        </w:rPr>
        <w:t>s</w:t>
      </w:r>
      <w:r>
        <w:t xml:space="preserve"> = 00（全 P</w:t>
      </w:r>
      <w:r>
        <w:rPr>
          <w:vertAlign w:val="subscript"/>
        </w:rPr>
        <w:t>2</w:t>
      </w:r>
      <w:r>
        <w:t xml:space="preserve">）与 </w:t>
      </w:r>
      <w:r>
        <w:rPr>
          <w:i/>
          <w:iCs/>
        </w:rPr>
        <w:t>s</w:t>
      </w:r>
      <w:r>
        <w:t xml:space="preserve"> = 11（ReLU 孪生网）之差即“同一架构换激活并重训”的真实代价。</w:t>
      </w:r>
    </w:p>
    <w:p w14:paraId="4C4D8AEC">
      <w:pPr>
        <w:pStyle w:val="44"/>
      </w:pPr>
      <w:r>
        <w:t>表 7-4：canonical 模型四种调度的明文精度（完整测试集，5 种子，单位 %）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946"/>
        <w:gridCol w:w="1656"/>
        <w:gridCol w:w="1814"/>
        <w:gridCol w:w="1814"/>
        <w:gridCol w:w="1971"/>
        <w:gridCol w:w="869"/>
      </w:tblGrid>
      <w:tr w14:paraId="7A537C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946" w:type="dxa"/>
            <w:vAlign w:val="center"/>
          </w:tcPr>
          <w:p w14:paraId="693ABA84">
            <w:pPr>
              <w:pStyle w:val="84"/>
              <w:jc w:val="left"/>
            </w:pPr>
            <w:r>
              <w:t>数据集</w:t>
            </w:r>
          </w:p>
        </w:tc>
        <w:tc>
          <w:tcPr>
            <w:tcW w:w="1656" w:type="dxa"/>
            <w:vAlign w:val="center"/>
          </w:tcPr>
          <w:p w14:paraId="60F5F8C1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00（P</w:t>
            </w:r>
            <w:r>
              <w:rPr>
                <w:vertAlign w:val="subscript"/>
              </w:rPr>
              <w:t>2</w:t>
            </w:r>
            <w:r>
              <w:t xml:space="preserve"> + P</w:t>
            </w:r>
            <w:r>
              <w:rPr>
                <w:vertAlign w:val="subscript"/>
              </w:rPr>
              <w:t>2</w:t>
            </w:r>
            <w:r>
              <w:t>）</w:t>
            </w:r>
          </w:p>
        </w:tc>
        <w:tc>
          <w:tcPr>
            <w:tcW w:w="1814" w:type="dxa"/>
            <w:vAlign w:val="center"/>
          </w:tcPr>
          <w:p w14:paraId="59F4DF50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01（P</w:t>
            </w:r>
            <w:r>
              <w:rPr>
                <w:vertAlign w:val="subscript"/>
              </w:rPr>
              <w:t>2</w:t>
            </w:r>
            <w:r>
              <w:t xml:space="preserve"> + ReLU）</w:t>
            </w:r>
          </w:p>
        </w:tc>
        <w:tc>
          <w:tcPr>
            <w:tcW w:w="1814" w:type="dxa"/>
            <w:vAlign w:val="center"/>
          </w:tcPr>
          <w:p w14:paraId="14D8A083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10（ReLU + P</w:t>
            </w:r>
            <w:r>
              <w:rPr>
                <w:vertAlign w:val="subscript"/>
              </w:rPr>
              <w:t>2</w:t>
            </w:r>
            <w:r>
              <w:t>）</w:t>
            </w:r>
          </w:p>
        </w:tc>
        <w:tc>
          <w:tcPr>
            <w:tcW w:w="1971" w:type="dxa"/>
            <w:vAlign w:val="center"/>
          </w:tcPr>
          <w:p w14:paraId="02A43354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11（ReLU + ReLU）</w:t>
            </w:r>
          </w:p>
        </w:tc>
        <w:tc>
          <w:tcPr>
            <w:tcW w:w="869" w:type="dxa"/>
            <w:vAlign w:val="center"/>
          </w:tcPr>
          <w:p w14:paraId="61253AF9">
            <w:pPr>
              <w:pStyle w:val="84"/>
              <w:jc w:val="center"/>
            </w:pPr>
            <w:r>
              <w:t>00 − 11</w:t>
            </w:r>
          </w:p>
        </w:tc>
      </w:tr>
      <w:tr w14:paraId="35BBC4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946" w:type="dxa"/>
            <w:vAlign w:val="center"/>
          </w:tcPr>
          <w:p w14:paraId="72F4FB6F">
            <w:pPr>
              <w:pStyle w:val="84"/>
              <w:jc w:val="left"/>
            </w:pPr>
            <w:r>
              <w:t>MNIST</w:t>
            </w:r>
          </w:p>
        </w:tc>
        <w:tc>
          <w:tcPr>
            <w:tcW w:w="1656" w:type="dxa"/>
            <w:vAlign w:val="center"/>
          </w:tcPr>
          <w:p w14:paraId="7AE60DD6">
            <w:pPr>
              <w:pStyle w:val="84"/>
              <w:jc w:val="center"/>
            </w:pPr>
            <w:r>
              <w:rPr>
                <w:b/>
                <w:bCs/>
              </w:rPr>
              <w:t>97.97 ± 0.29</w:t>
            </w:r>
          </w:p>
        </w:tc>
        <w:tc>
          <w:tcPr>
            <w:tcW w:w="1814" w:type="dxa"/>
            <w:vAlign w:val="center"/>
          </w:tcPr>
          <w:p w14:paraId="436CC73A">
            <w:pPr>
              <w:pStyle w:val="84"/>
              <w:jc w:val="center"/>
            </w:pPr>
            <w:r>
              <w:t>97.90 ± 0.11</w:t>
            </w:r>
          </w:p>
        </w:tc>
        <w:tc>
          <w:tcPr>
            <w:tcW w:w="1814" w:type="dxa"/>
            <w:vAlign w:val="center"/>
          </w:tcPr>
          <w:p w14:paraId="3307F80D">
            <w:pPr>
              <w:pStyle w:val="84"/>
              <w:jc w:val="center"/>
            </w:pPr>
            <w:r>
              <w:t>97.89 ± 0.20</w:t>
            </w:r>
          </w:p>
        </w:tc>
        <w:tc>
          <w:tcPr>
            <w:tcW w:w="1971" w:type="dxa"/>
            <w:vAlign w:val="center"/>
          </w:tcPr>
          <w:p w14:paraId="490F6A3A">
            <w:pPr>
              <w:pStyle w:val="84"/>
              <w:jc w:val="center"/>
            </w:pPr>
            <w:r>
              <w:t>97.71 ± 0.09</w:t>
            </w:r>
          </w:p>
        </w:tc>
        <w:tc>
          <w:tcPr>
            <w:tcW w:w="869" w:type="dxa"/>
            <w:vAlign w:val="center"/>
          </w:tcPr>
          <w:p w14:paraId="66D27758">
            <w:pPr>
              <w:pStyle w:val="84"/>
              <w:jc w:val="center"/>
            </w:pPr>
            <w:r>
              <w:t>+0.26</w:t>
            </w:r>
          </w:p>
        </w:tc>
      </w:tr>
      <w:tr w14:paraId="462A39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946" w:type="dxa"/>
            <w:vAlign w:val="center"/>
          </w:tcPr>
          <w:p w14:paraId="68EC3022">
            <w:pPr>
              <w:pStyle w:val="84"/>
              <w:jc w:val="left"/>
            </w:pPr>
            <w:r>
              <w:t>CIFAR-10</w:t>
            </w:r>
          </w:p>
        </w:tc>
        <w:tc>
          <w:tcPr>
            <w:tcW w:w="1656" w:type="dxa"/>
            <w:vAlign w:val="center"/>
          </w:tcPr>
          <w:p w14:paraId="6B883829">
            <w:pPr>
              <w:pStyle w:val="84"/>
              <w:jc w:val="center"/>
            </w:pPr>
            <w:r>
              <w:t>60.59 ± 0.49</w:t>
            </w:r>
          </w:p>
        </w:tc>
        <w:tc>
          <w:tcPr>
            <w:tcW w:w="1814" w:type="dxa"/>
            <w:vAlign w:val="center"/>
          </w:tcPr>
          <w:p w14:paraId="564FF33E">
            <w:pPr>
              <w:pStyle w:val="84"/>
              <w:jc w:val="center"/>
            </w:pPr>
            <w:r>
              <w:t>59.36 ± 0.77</w:t>
            </w:r>
          </w:p>
        </w:tc>
        <w:tc>
          <w:tcPr>
            <w:tcW w:w="1814" w:type="dxa"/>
            <w:vAlign w:val="center"/>
          </w:tcPr>
          <w:p w14:paraId="31682D32">
            <w:pPr>
              <w:pStyle w:val="84"/>
              <w:jc w:val="center"/>
            </w:pPr>
            <w:r>
              <w:rPr>
                <w:b/>
                <w:bCs/>
              </w:rPr>
              <w:t>62.80 ± 0.77</w:t>
            </w:r>
          </w:p>
        </w:tc>
        <w:tc>
          <w:tcPr>
            <w:tcW w:w="1971" w:type="dxa"/>
            <w:vAlign w:val="center"/>
          </w:tcPr>
          <w:p w14:paraId="5267DBF8">
            <w:pPr>
              <w:pStyle w:val="84"/>
              <w:jc w:val="center"/>
            </w:pPr>
            <w:r>
              <w:t>58.60 ± 0.46</w:t>
            </w:r>
          </w:p>
        </w:tc>
        <w:tc>
          <w:tcPr>
            <w:tcW w:w="869" w:type="dxa"/>
            <w:vAlign w:val="center"/>
          </w:tcPr>
          <w:p w14:paraId="6AF2237F">
            <w:pPr>
              <w:pStyle w:val="84"/>
              <w:jc w:val="center"/>
            </w:pPr>
            <w:r>
              <w:t>+1.99</w:t>
            </w:r>
          </w:p>
        </w:tc>
      </w:tr>
      <w:tr w14:paraId="40AB59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946" w:type="dxa"/>
            <w:vAlign w:val="center"/>
          </w:tcPr>
          <w:p w14:paraId="249AA932">
            <w:pPr>
              <w:pStyle w:val="84"/>
              <w:jc w:val="left"/>
            </w:pPr>
            <w:r>
              <w:t>UCI HAR</w:t>
            </w:r>
          </w:p>
        </w:tc>
        <w:tc>
          <w:tcPr>
            <w:tcW w:w="1656" w:type="dxa"/>
            <w:vAlign w:val="center"/>
          </w:tcPr>
          <w:p w14:paraId="7E835895">
            <w:pPr>
              <w:pStyle w:val="84"/>
              <w:jc w:val="center"/>
            </w:pPr>
            <w:r>
              <w:t>90.34 ± 0.93</w:t>
            </w:r>
          </w:p>
        </w:tc>
        <w:tc>
          <w:tcPr>
            <w:tcW w:w="1814" w:type="dxa"/>
            <w:vAlign w:val="center"/>
          </w:tcPr>
          <w:p w14:paraId="7AB9F996">
            <w:pPr>
              <w:pStyle w:val="84"/>
              <w:jc w:val="center"/>
            </w:pPr>
            <w:r>
              <w:t>88.67 ± 1.12</w:t>
            </w:r>
          </w:p>
        </w:tc>
        <w:tc>
          <w:tcPr>
            <w:tcW w:w="1814" w:type="dxa"/>
            <w:vAlign w:val="center"/>
          </w:tcPr>
          <w:p w14:paraId="50550014">
            <w:pPr>
              <w:pStyle w:val="84"/>
              <w:jc w:val="center"/>
            </w:pPr>
            <w:r>
              <w:rPr>
                <w:b/>
                <w:bCs/>
              </w:rPr>
              <w:t>90.81 ± 0.51</w:t>
            </w:r>
          </w:p>
        </w:tc>
        <w:tc>
          <w:tcPr>
            <w:tcW w:w="1971" w:type="dxa"/>
            <w:vAlign w:val="center"/>
          </w:tcPr>
          <w:p w14:paraId="210B6D67">
            <w:pPr>
              <w:pStyle w:val="84"/>
              <w:jc w:val="center"/>
            </w:pPr>
            <w:r>
              <w:t>89.75 ± 0.99</w:t>
            </w:r>
          </w:p>
        </w:tc>
        <w:tc>
          <w:tcPr>
            <w:tcW w:w="869" w:type="dxa"/>
            <w:vAlign w:val="center"/>
          </w:tcPr>
          <w:p w14:paraId="3AE6209A">
            <w:pPr>
              <w:pStyle w:val="84"/>
              <w:jc w:val="center"/>
            </w:pPr>
            <w:r>
              <w:t>+0.59</w:t>
            </w:r>
          </w:p>
        </w:tc>
      </w:tr>
    </w:tbl>
    <w:p w14:paraId="2A807F27">
      <w:pPr>
        <w:pStyle w:val="3"/>
      </w:pPr>
      <w:r>
        <w:t>在两非线性层的 canonical 网络上，训练期采用 P</w:t>
      </w:r>
      <w:r>
        <w:rPr>
          <w:vertAlign w:val="subscript"/>
        </w:rPr>
        <w:t>2</w:t>
      </w:r>
      <w:r>
        <w:t xml:space="preserve"> 不造成精度损失：</w:t>
      </w:r>
      <w:r>
        <w:rPr>
          <w:i/>
          <w:iCs/>
        </w:rPr>
        <w:t>s</w:t>
      </w:r>
      <w:r>
        <w:t xml:space="preserve"> = 00 比 ReLU 孪生网还高 0.26–1.99 个百分点。四种调度的极差为 0.26（MNIST）、4.20（CIFAR-10）与 2.14（UCI HAR）个百分点。这说明在浅网上，调度主要由交互成本决定，而不是由精度决定。</w:t>
      </w:r>
    </w:p>
    <w:p w14:paraId="234EB495">
      <w:pPr>
        <w:pStyle w:val="3"/>
      </w:pPr>
      <w:r>
        <w:rPr>
          <w:b/>
          <w:bCs/>
        </w:rPr>
        <w:t>密文推理的忠实度。</w:t>
      </w:r>
      <w:r>
        <w:t xml:space="preserve"> 密文侧只报告与同一检查点明文预测的逐样本一致率和 logit 误差，而不用小样本的密文精度给调度排序（64 个样本的二项标准误约 6 个百分点）。表 7-5 给出完整协议（客户端加密 → 服务端 HE 线性层 → 每个 </w:t>
      </w:r>
      <w:r>
        <w:rPr>
          <w:i/>
          <w:iCs/>
        </w:rPr>
        <w:t>s</w:t>
      </w:r>
      <w:r>
        <w:rPr>
          <w:vertAlign w:val="subscript"/>
        </w:rPr>
        <w:t>k</w:t>
      </w:r>
      <w:r>
        <w:t xml:space="preserve"> = 1 的层走 SCI 两方 ReLU → 客户端解密）的结果。</w:t>
      </w:r>
    </w:p>
    <w:p w14:paraId="25A4D107">
      <w:pPr>
        <w:pStyle w:val="44"/>
      </w:pPr>
      <w:r>
        <w:t>表 7-5：密文推理与明文预测的逐样本一致率（SEAL 4.1.2 + SCI，5 种子 × 64 样本，随机抽样）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470"/>
        <w:gridCol w:w="1225"/>
        <w:gridCol w:w="1225"/>
        <w:gridCol w:w="1225"/>
        <w:gridCol w:w="1225"/>
        <w:gridCol w:w="2700"/>
      </w:tblGrid>
      <w:tr w14:paraId="110261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470" w:type="dxa"/>
            <w:vAlign w:val="center"/>
          </w:tcPr>
          <w:p w14:paraId="5BE3D3BD">
            <w:pPr>
              <w:pStyle w:val="84"/>
              <w:jc w:val="left"/>
            </w:pPr>
            <w:r>
              <w:t>数据集</w:t>
            </w:r>
          </w:p>
        </w:tc>
        <w:tc>
          <w:tcPr>
            <w:tcW w:w="1225" w:type="dxa"/>
            <w:vAlign w:val="center"/>
          </w:tcPr>
          <w:p w14:paraId="1237F434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00</w:t>
            </w:r>
          </w:p>
        </w:tc>
        <w:tc>
          <w:tcPr>
            <w:tcW w:w="1225" w:type="dxa"/>
            <w:vAlign w:val="center"/>
          </w:tcPr>
          <w:p w14:paraId="6BA700AF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01</w:t>
            </w:r>
          </w:p>
        </w:tc>
        <w:tc>
          <w:tcPr>
            <w:tcW w:w="1225" w:type="dxa"/>
            <w:vAlign w:val="center"/>
          </w:tcPr>
          <w:p w14:paraId="09DC7E3E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10</w:t>
            </w:r>
          </w:p>
        </w:tc>
        <w:tc>
          <w:tcPr>
            <w:tcW w:w="1225" w:type="dxa"/>
            <w:vAlign w:val="center"/>
          </w:tcPr>
          <w:p w14:paraId="63E08156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11</w:t>
            </w:r>
          </w:p>
        </w:tc>
        <w:tc>
          <w:tcPr>
            <w:tcW w:w="2700" w:type="dxa"/>
            <w:vAlign w:val="center"/>
          </w:tcPr>
          <w:p w14:paraId="24C4357C">
            <w:pPr>
              <w:pStyle w:val="84"/>
              <w:jc w:val="center"/>
            </w:pPr>
            <w:r>
              <w:t>logit 最大绝对误差</w:t>
            </w:r>
          </w:p>
        </w:tc>
      </w:tr>
      <w:tr w14:paraId="51934F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70" w:type="dxa"/>
            <w:vAlign w:val="center"/>
          </w:tcPr>
          <w:p w14:paraId="095C7397">
            <w:pPr>
              <w:pStyle w:val="84"/>
              <w:jc w:val="left"/>
            </w:pPr>
            <w:r>
              <w:t>MNIST</w:t>
            </w:r>
          </w:p>
        </w:tc>
        <w:tc>
          <w:tcPr>
            <w:tcW w:w="1225" w:type="dxa"/>
            <w:vAlign w:val="center"/>
          </w:tcPr>
          <w:p w14:paraId="19CF9A43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47E13E0C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124E983B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03A15B6F">
            <w:pPr>
              <w:pStyle w:val="84"/>
              <w:jc w:val="center"/>
            </w:pPr>
            <w:r>
              <w:t>100%</w:t>
            </w:r>
          </w:p>
        </w:tc>
        <w:tc>
          <w:tcPr>
            <w:tcW w:w="2700" w:type="dxa"/>
            <w:vAlign w:val="center"/>
          </w:tcPr>
          <w:p w14:paraId="58CFCD95">
            <w:pPr>
              <w:pStyle w:val="84"/>
              <w:jc w:val="center"/>
            </w:pPr>
            <w:r>
              <w:t>≤ 7.5×10⁻²</w:t>
            </w:r>
          </w:p>
        </w:tc>
      </w:tr>
      <w:tr w14:paraId="3AECA7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70" w:type="dxa"/>
            <w:vAlign w:val="center"/>
          </w:tcPr>
          <w:p w14:paraId="548D0CE7">
            <w:pPr>
              <w:pStyle w:val="84"/>
              <w:jc w:val="left"/>
            </w:pPr>
            <w:r>
              <w:t>CIFAR-10</w:t>
            </w:r>
          </w:p>
        </w:tc>
        <w:tc>
          <w:tcPr>
            <w:tcW w:w="1225" w:type="dxa"/>
            <w:vAlign w:val="center"/>
          </w:tcPr>
          <w:p w14:paraId="6CC6FD82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0F8C7284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61629ADF">
            <w:pPr>
              <w:pStyle w:val="84"/>
              <w:jc w:val="center"/>
            </w:pPr>
            <w:r>
              <w:t>99.69%</w:t>
            </w:r>
          </w:p>
        </w:tc>
        <w:tc>
          <w:tcPr>
            <w:tcW w:w="1225" w:type="dxa"/>
            <w:vAlign w:val="center"/>
          </w:tcPr>
          <w:p w14:paraId="394E9FF3">
            <w:pPr>
              <w:pStyle w:val="84"/>
              <w:jc w:val="center"/>
            </w:pPr>
            <w:r>
              <w:t>99.69%</w:t>
            </w:r>
          </w:p>
        </w:tc>
        <w:tc>
          <w:tcPr>
            <w:tcW w:w="2700" w:type="dxa"/>
            <w:vAlign w:val="center"/>
          </w:tcPr>
          <w:p w14:paraId="44CD73F3">
            <w:pPr>
              <w:pStyle w:val="84"/>
              <w:jc w:val="center"/>
            </w:pPr>
            <w:r>
              <w:t>≤ 4.3×10⁻²</w:t>
            </w:r>
          </w:p>
        </w:tc>
      </w:tr>
      <w:tr w14:paraId="26AA73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70" w:type="dxa"/>
            <w:vAlign w:val="center"/>
          </w:tcPr>
          <w:p w14:paraId="35CA4507">
            <w:pPr>
              <w:pStyle w:val="84"/>
              <w:jc w:val="left"/>
            </w:pPr>
            <w:r>
              <w:t>UCI HAR</w:t>
            </w:r>
          </w:p>
        </w:tc>
        <w:tc>
          <w:tcPr>
            <w:tcW w:w="1225" w:type="dxa"/>
            <w:vAlign w:val="center"/>
          </w:tcPr>
          <w:p w14:paraId="34558E06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2FE0028B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633ED19F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27204FEF">
            <w:pPr>
              <w:pStyle w:val="84"/>
              <w:jc w:val="center"/>
            </w:pPr>
            <w:r>
              <w:t>99.69%</w:t>
            </w:r>
          </w:p>
        </w:tc>
        <w:tc>
          <w:tcPr>
            <w:tcW w:w="2700" w:type="dxa"/>
            <w:vAlign w:val="center"/>
          </w:tcPr>
          <w:p w14:paraId="781B597D">
            <w:pPr>
              <w:pStyle w:val="84"/>
              <w:jc w:val="center"/>
            </w:pPr>
            <w:r>
              <w:t>≤ 8.5×10⁻²</w:t>
            </w:r>
          </w:p>
        </w:tc>
      </w:tr>
    </w:tbl>
    <w:p w14:paraId="0F4FFD09">
      <w:pPr>
        <w:pStyle w:val="83"/>
      </w:pPr>
      <w:r>
        <w:t>注：60 组（3 数据集 × 4 调度 × 5 种子）中 57 组为 64/64，3 组为 63/64。另有 HE-only 的大样本密文精度：MNIST 97.74 ± 0.18%（每种子 1,000 样本）；CIFAR-10 58.70 ± 3.25%、UCI HAR 84.90 ± 1.64%（每种子取测试集前 200 个样本；UCI HAR 测试集按受试者 / 动作排列，前 200 个样本的类别分布有偏，该数不能与全测试集精度直接比较）。</w:t>
      </w:r>
    </w:p>
    <w:p w14:paraId="5A59D0E1">
      <w:pPr>
        <w:pStyle w:val="3"/>
      </w:pPr>
      <w:r>
        <w:t>一致率为 99.69%–100%，同一批样本上密文精度与明文精度最多相差 0.31 个百分点（UCI HAR，</w:t>
      </w:r>
      <w:r>
        <w:rPr>
          <w:i/>
          <w:iCs/>
        </w:rPr>
        <w:t>s</w:t>
      </w:r>
      <w:r>
        <w:t xml:space="preserve"> = 11）。因此，四种调度之间的精度差异来自检查点本身，密文计算没有引入与调度相关的额外损失。</w:t>
      </w:r>
    </w:p>
    <w:p w14:paraId="07B70142">
      <w:pPr>
        <w:pStyle w:val="3"/>
      </w:pPr>
      <w:r>
        <w:rPr>
          <w:b/>
          <w:bCs/>
        </w:rPr>
        <w:t>加深网络。</w:t>
      </w:r>
      <w:r>
        <w:t xml:space="preserve"> 两非线性层网络的容量有限（CIFAR-10 的 canonical 模型为 58.60%–62.80%）。表 7-6 给出两组更深的 CIFAR-10 模型；其中 3/4 卷积模型的 84.97%–87.90% 明文精度只用于说明深度收益，不改变 canonical 主表的 58.60%–62.80% 口径，也不进入密文与部署结论。</w:t>
      </w:r>
    </w:p>
    <w:p w14:paraId="230F7123">
      <w:pPr>
        <w:pStyle w:val="44"/>
      </w:pPr>
      <w:r>
        <w:t>表 7-6：加深网络后的 ReLU 与 P</w:t>
      </w:r>
      <w:r>
        <w:rPr>
          <w:vertAlign w:val="subscript"/>
        </w:rPr>
        <w:t>2</w:t>
      </w:r>
      <w:r>
        <w:t xml:space="preserve"> 对比（CIFAR-10，完整测试集，明文，单位 %）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10"/>
        <w:gridCol w:w="809"/>
        <w:gridCol w:w="971"/>
        <w:gridCol w:w="1133"/>
        <w:gridCol w:w="1295"/>
        <w:gridCol w:w="1295"/>
        <w:gridCol w:w="1057"/>
      </w:tblGrid>
      <w:tr w14:paraId="2C336F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510" w:type="dxa"/>
            <w:vAlign w:val="center"/>
          </w:tcPr>
          <w:p w14:paraId="50567245">
            <w:pPr>
              <w:pStyle w:val="84"/>
              <w:jc w:val="left"/>
            </w:pPr>
            <w:r>
              <w:t>模型</w:t>
            </w:r>
          </w:p>
        </w:tc>
        <w:tc>
          <w:tcPr>
            <w:tcW w:w="809" w:type="dxa"/>
            <w:vAlign w:val="center"/>
          </w:tcPr>
          <w:p w14:paraId="54340276">
            <w:pPr>
              <w:pStyle w:val="84"/>
              <w:jc w:val="center"/>
            </w:pPr>
            <w:r>
              <w:t>种子数</w:t>
            </w:r>
          </w:p>
        </w:tc>
        <w:tc>
          <w:tcPr>
            <w:tcW w:w="971" w:type="dxa"/>
            <w:vAlign w:val="center"/>
          </w:tcPr>
          <w:p w14:paraId="5E0CF878">
            <w:pPr>
              <w:pStyle w:val="84"/>
              <w:jc w:val="center"/>
            </w:pPr>
            <w:r>
              <w:t>乘法深度</w:t>
            </w:r>
          </w:p>
        </w:tc>
        <w:tc>
          <w:tcPr>
            <w:tcW w:w="1133" w:type="dxa"/>
            <w:vAlign w:val="center"/>
          </w:tcPr>
          <w:p w14:paraId="54AE8AEC">
            <w:pPr>
              <w:pStyle w:val="84"/>
              <w:jc w:val="center"/>
            </w:pPr>
            <w:r>
              <w:t>6 层预算内</w:t>
            </w:r>
          </w:p>
        </w:tc>
        <w:tc>
          <w:tcPr>
            <w:tcW w:w="1295" w:type="dxa"/>
            <w:vAlign w:val="center"/>
          </w:tcPr>
          <w:p w14:paraId="0860E16F">
            <w:pPr>
              <w:pStyle w:val="84"/>
              <w:jc w:val="center"/>
            </w:pPr>
            <w:r>
              <w:t>ReLU</w:t>
            </w:r>
          </w:p>
        </w:tc>
        <w:tc>
          <w:tcPr>
            <w:tcW w:w="1295" w:type="dxa"/>
            <w:vAlign w:val="center"/>
          </w:tcPr>
          <w:p w14:paraId="4B9F4DC9">
            <w:pPr>
              <w:pStyle w:val="84"/>
              <w:jc w:val="center"/>
            </w:pPr>
            <w:r>
              <w:t>P</w:t>
            </w:r>
            <w:r>
              <w:rPr>
                <w:vertAlign w:val="subscript"/>
              </w:rPr>
              <w:t>2</w:t>
            </w:r>
          </w:p>
        </w:tc>
        <w:tc>
          <w:tcPr>
            <w:tcW w:w="1057" w:type="dxa"/>
            <w:vAlign w:val="center"/>
          </w:tcPr>
          <w:p w14:paraId="5B2B01B7">
            <w:pPr>
              <w:pStyle w:val="84"/>
              <w:jc w:val="center"/>
            </w:pPr>
            <w:r>
              <w:t>ReLU − P</w:t>
            </w:r>
            <w:r>
              <w:rPr>
                <w:vertAlign w:val="subscript"/>
              </w:rPr>
              <w:t>2</w:t>
            </w:r>
          </w:p>
        </w:tc>
      </w:tr>
      <w:tr w14:paraId="749160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1B4E60C7">
            <w:pPr>
              <w:pStyle w:val="84"/>
              <w:jc w:val="left"/>
            </w:pPr>
            <w:r>
              <w:t>FC-deep，</w:t>
            </w:r>
            <w:r>
              <w:rPr>
                <w:i/>
                <w:iCs/>
              </w:rPr>
              <w:t>D</w:t>
            </w:r>
            <w:r>
              <w:t xml:space="preserve"> = 2（灰度）</w:t>
            </w:r>
          </w:p>
        </w:tc>
        <w:tc>
          <w:tcPr>
            <w:tcW w:w="809" w:type="dxa"/>
            <w:vAlign w:val="center"/>
          </w:tcPr>
          <w:p w14:paraId="2BCE2660">
            <w:pPr>
              <w:pStyle w:val="84"/>
              <w:jc w:val="center"/>
            </w:pPr>
            <w:r>
              <w:t>3</w:t>
            </w:r>
          </w:p>
        </w:tc>
        <w:tc>
          <w:tcPr>
            <w:tcW w:w="971" w:type="dxa"/>
            <w:vAlign w:val="center"/>
          </w:tcPr>
          <w:p w14:paraId="7CFA9998">
            <w:pPr>
              <w:pStyle w:val="84"/>
              <w:jc w:val="center"/>
            </w:pPr>
            <w:r>
              <w:t>5</w:t>
            </w:r>
          </w:p>
        </w:tc>
        <w:tc>
          <w:tcPr>
            <w:tcW w:w="1133" w:type="dxa"/>
            <w:vAlign w:val="center"/>
          </w:tcPr>
          <w:p w14:paraId="2A54AD7D">
            <w:pPr>
              <w:pStyle w:val="84"/>
              <w:jc w:val="center"/>
            </w:pPr>
            <w:r>
              <w:t>是</w:t>
            </w:r>
          </w:p>
        </w:tc>
        <w:tc>
          <w:tcPr>
            <w:tcW w:w="1295" w:type="dxa"/>
            <w:vAlign w:val="center"/>
          </w:tcPr>
          <w:p w14:paraId="74A9A6CC">
            <w:pPr>
              <w:pStyle w:val="84"/>
              <w:jc w:val="center"/>
            </w:pPr>
            <w:r>
              <w:t>66.57 ± 0.56</w:t>
            </w:r>
          </w:p>
        </w:tc>
        <w:tc>
          <w:tcPr>
            <w:tcW w:w="1295" w:type="dxa"/>
            <w:vAlign w:val="center"/>
          </w:tcPr>
          <w:p w14:paraId="1B6A1C0A">
            <w:pPr>
              <w:pStyle w:val="84"/>
              <w:jc w:val="center"/>
            </w:pPr>
            <w:r>
              <w:t>66.35 ± 0.38</w:t>
            </w:r>
          </w:p>
        </w:tc>
        <w:tc>
          <w:tcPr>
            <w:tcW w:w="1057" w:type="dxa"/>
            <w:vAlign w:val="center"/>
          </w:tcPr>
          <w:p w14:paraId="3C4990F8">
            <w:pPr>
              <w:pStyle w:val="84"/>
              <w:jc w:val="center"/>
            </w:pPr>
            <w:r>
              <w:t>+0.22</w:t>
            </w:r>
          </w:p>
        </w:tc>
      </w:tr>
      <w:tr w14:paraId="748E3C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481F7E1A">
            <w:pPr>
              <w:pStyle w:val="84"/>
              <w:jc w:val="left"/>
            </w:pPr>
            <w:r>
              <w:t>FC-deep，</w:t>
            </w:r>
            <w:r>
              <w:rPr>
                <w:i/>
                <w:iCs/>
              </w:rPr>
              <w:t>D</w:t>
            </w:r>
            <w:r>
              <w:t xml:space="preserve"> = 3（灰度）</w:t>
            </w:r>
          </w:p>
        </w:tc>
        <w:tc>
          <w:tcPr>
            <w:tcW w:w="809" w:type="dxa"/>
            <w:vAlign w:val="center"/>
          </w:tcPr>
          <w:p w14:paraId="766CF968">
            <w:pPr>
              <w:pStyle w:val="84"/>
              <w:jc w:val="center"/>
            </w:pPr>
            <w:r>
              <w:t>3</w:t>
            </w:r>
          </w:p>
        </w:tc>
        <w:tc>
          <w:tcPr>
            <w:tcW w:w="971" w:type="dxa"/>
            <w:vAlign w:val="center"/>
          </w:tcPr>
          <w:p w14:paraId="1F43BEC7">
            <w:pPr>
              <w:pStyle w:val="84"/>
              <w:jc w:val="center"/>
            </w:pPr>
            <w:r>
              <w:t>7</w:t>
            </w:r>
          </w:p>
        </w:tc>
        <w:tc>
          <w:tcPr>
            <w:tcW w:w="1133" w:type="dxa"/>
            <w:vAlign w:val="center"/>
          </w:tcPr>
          <w:p w14:paraId="2C1A8296">
            <w:pPr>
              <w:pStyle w:val="84"/>
              <w:jc w:val="center"/>
            </w:pPr>
            <w:r>
              <w:t>否</w:t>
            </w:r>
          </w:p>
        </w:tc>
        <w:tc>
          <w:tcPr>
            <w:tcW w:w="1295" w:type="dxa"/>
            <w:vAlign w:val="center"/>
          </w:tcPr>
          <w:p w14:paraId="6D65C082">
            <w:pPr>
              <w:pStyle w:val="84"/>
              <w:jc w:val="center"/>
            </w:pPr>
            <w:r>
              <w:t>69.62 ± 0.20</w:t>
            </w:r>
          </w:p>
        </w:tc>
        <w:tc>
          <w:tcPr>
            <w:tcW w:w="1295" w:type="dxa"/>
            <w:vAlign w:val="center"/>
          </w:tcPr>
          <w:p w14:paraId="299D88C3">
            <w:pPr>
              <w:pStyle w:val="84"/>
              <w:jc w:val="center"/>
            </w:pPr>
            <w:r>
              <w:t>67.58 ± 0.25</w:t>
            </w:r>
          </w:p>
        </w:tc>
        <w:tc>
          <w:tcPr>
            <w:tcW w:w="1057" w:type="dxa"/>
            <w:vAlign w:val="center"/>
          </w:tcPr>
          <w:p w14:paraId="31ABDD03">
            <w:pPr>
              <w:pStyle w:val="84"/>
              <w:jc w:val="center"/>
            </w:pPr>
            <w:r>
              <w:t>+2.04</w:t>
            </w:r>
          </w:p>
        </w:tc>
      </w:tr>
      <w:tr w14:paraId="467D19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01E078FA">
            <w:pPr>
              <w:pStyle w:val="84"/>
              <w:jc w:val="left"/>
            </w:pPr>
            <w:r>
              <w:t>FC-deep，</w:t>
            </w:r>
            <w:r>
              <w:rPr>
                <w:i/>
                <w:iCs/>
              </w:rPr>
              <w:t>D</w:t>
            </w:r>
            <w:r>
              <w:t xml:space="preserve"> = 4（灰度）</w:t>
            </w:r>
          </w:p>
        </w:tc>
        <w:tc>
          <w:tcPr>
            <w:tcW w:w="809" w:type="dxa"/>
            <w:vAlign w:val="center"/>
          </w:tcPr>
          <w:p w14:paraId="7C047582">
            <w:pPr>
              <w:pStyle w:val="84"/>
              <w:jc w:val="center"/>
            </w:pPr>
            <w:r>
              <w:t>3</w:t>
            </w:r>
          </w:p>
        </w:tc>
        <w:tc>
          <w:tcPr>
            <w:tcW w:w="971" w:type="dxa"/>
            <w:vAlign w:val="center"/>
          </w:tcPr>
          <w:p w14:paraId="029B3B01">
            <w:pPr>
              <w:pStyle w:val="84"/>
              <w:jc w:val="center"/>
            </w:pPr>
            <w:r>
              <w:t>9</w:t>
            </w:r>
          </w:p>
        </w:tc>
        <w:tc>
          <w:tcPr>
            <w:tcW w:w="1133" w:type="dxa"/>
            <w:vAlign w:val="center"/>
          </w:tcPr>
          <w:p w14:paraId="3E33D0BE">
            <w:pPr>
              <w:pStyle w:val="84"/>
              <w:jc w:val="center"/>
            </w:pPr>
            <w:r>
              <w:t>否</w:t>
            </w:r>
          </w:p>
        </w:tc>
        <w:tc>
          <w:tcPr>
            <w:tcW w:w="1295" w:type="dxa"/>
            <w:vAlign w:val="center"/>
          </w:tcPr>
          <w:p w14:paraId="504CC858">
            <w:pPr>
              <w:pStyle w:val="84"/>
              <w:jc w:val="center"/>
            </w:pPr>
            <w:r>
              <w:t>69.83 ± 0.16</w:t>
            </w:r>
          </w:p>
        </w:tc>
        <w:tc>
          <w:tcPr>
            <w:tcW w:w="1295" w:type="dxa"/>
            <w:vAlign w:val="center"/>
          </w:tcPr>
          <w:p w14:paraId="248BBCEF">
            <w:pPr>
              <w:pStyle w:val="84"/>
              <w:jc w:val="center"/>
            </w:pPr>
            <w:r>
              <w:t>66.44 ± 0.29</w:t>
            </w:r>
          </w:p>
        </w:tc>
        <w:tc>
          <w:tcPr>
            <w:tcW w:w="1057" w:type="dxa"/>
            <w:vAlign w:val="center"/>
          </w:tcPr>
          <w:p w14:paraId="739847AE">
            <w:pPr>
              <w:pStyle w:val="84"/>
              <w:jc w:val="center"/>
            </w:pPr>
            <w:r>
              <w:t>+3.39</w:t>
            </w:r>
          </w:p>
        </w:tc>
      </w:tr>
      <w:tr w14:paraId="7E3133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09A4B61B">
            <w:pPr>
              <w:pStyle w:val="84"/>
              <w:jc w:val="left"/>
            </w:pPr>
            <w:r>
              <w:t>2 卷积 + BN（RGB，64 通道）</w:t>
            </w:r>
          </w:p>
        </w:tc>
        <w:tc>
          <w:tcPr>
            <w:tcW w:w="809" w:type="dxa"/>
            <w:vAlign w:val="center"/>
          </w:tcPr>
          <w:p w14:paraId="4A208AC1">
            <w:pPr>
              <w:pStyle w:val="84"/>
              <w:jc w:val="center"/>
            </w:pPr>
            <w:r>
              <w:t>5</w:t>
            </w:r>
          </w:p>
        </w:tc>
        <w:tc>
          <w:tcPr>
            <w:tcW w:w="971" w:type="dxa"/>
            <w:vAlign w:val="center"/>
          </w:tcPr>
          <w:p w14:paraId="6A2C173D">
            <w:pPr>
              <w:pStyle w:val="84"/>
              <w:jc w:val="center"/>
            </w:pPr>
            <w:r>
              <w:t>6</w:t>
            </w:r>
          </w:p>
        </w:tc>
        <w:tc>
          <w:tcPr>
            <w:tcW w:w="1133" w:type="dxa"/>
            <w:vAlign w:val="center"/>
          </w:tcPr>
          <w:p w14:paraId="67614323">
            <w:pPr>
              <w:pStyle w:val="84"/>
              <w:jc w:val="center"/>
            </w:pPr>
            <w:r>
              <w:t>是</w:t>
            </w:r>
          </w:p>
        </w:tc>
        <w:tc>
          <w:tcPr>
            <w:tcW w:w="1295" w:type="dxa"/>
            <w:vAlign w:val="center"/>
          </w:tcPr>
          <w:p w14:paraId="303557A2">
            <w:pPr>
              <w:pStyle w:val="84"/>
              <w:jc w:val="center"/>
            </w:pPr>
            <w:r>
              <w:t>80.54 ± 0.48</w:t>
            </w:r>
          </w:p>
        </w:tc>
        <w:tc>
          <w:tcPr>
            <w:tcW w:w="1295" w:type="dxa"/>
            <w:vAlign w:val="center"/>
          </w:tcPr>
          <w:p w14:paraId="15893221">
            <w:pPr>
              <w:pStyle w:val="84"/>
              <w:jc w:val="center"/>
            </w:pPr>
            <w:r>
              <w:t>78.59 ± 0.08</w:t>
            </w:r>
          </w:p>
        </w:tc>
        <w:tc>
          <w:tcPr>
            <w:tcW w:w="1057" w:type="dxa"/>
            <w:vAlign w:val="center"/>
          </w:tcPr>
          <w:p w14:paraId="44FE8B26">
            <w:pPr>
              <w:pStyle w:val="84"/>
              <w:jc w:val="center"/>
            </w:pPr>
            <w:r>
              <w:t>+1.95</w:t>
            </w:r>
          </w:p>
        </w:tc>
      </w:tr>
      <w:tr w14:paraId="177A51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164628A0">
            <w:pPr>
              <w:pStyle w:val="84"/>
              <w:jc w:val="left"/>
            </w:pPr>
            <w:r>
              <w:t>3 卷积 + BN（RGB，64 通道）</w:t>
            </w:r>
          </w:p>
        </w:tc>
        <w:tc>
          <w:tcPr>
            <w:tcW w:w="809" w:type="dxa"/>
            <w:vAlign w:val="center"/>
          </w:tcPr>
          <w:p w14:paraId="1184D99E">
            <w:pPr>
              <w:pStyle w:val="84"/>
              <w:jc w:val="center"/>
            </w:pPr>
            <w:r>
              <w:t>5</w:t>
            </w:r>
          </w:p>
        </w:tc>
        <w:tc>
          <w:tcPr>
            <w:tcW w:w="971" w:type="dxa"/>
            <w:vAlign w:val="center"/>
          </w:tcPr>
          <w:p w14:paraId="7C780B9A">
            <w:pPr>
              <w:pStyle w:val="84"/>
              <w:jc w:val="center"/>
            </w:pPr>
            <w:r>
              <w:t>8</w:t>
            </w:r>
          </w:p>
        </w:tc>
        <w:tc>
          <w:tcPr>
            <w:tcW w:w="1133" w:type="dxa"/>
            <w:vAlign w:val="center"/>
          </w:tcPr>
          <w:p w14:paraId="68A798A4">
            <w:pPr>
              <w:pStyle w:val="84"/>
              <w:jc w:val="center"/>
            </w:pPr>
            <w:r>
              <w:t>否</w:t>
            </w:r>
          </w:p>
        </w:tc>
        <w:tc>
          <w:tcPr>
            <w:tcW w:w="1295" w:type="dxa"/>
            <w:vAlign w:val="center"/>
          </w:tcPr>
          <w:p w14:paraId="5EDB62A6">
            <w:pPr>
              <w:pStyle w:val="84"/>
              <w:jc w:val="center"/>
            </w:pPr>
            <w:r>
              <w:t>84.97 ± 0.25</w:t>
            </w:r>
          </w:p>
        </w:tc>
        <w:tc>
          <w:tcPr>
            <w:tcW w:w="1295" w:type="dxa"/>
            <w:vAlign w:val="center"/>
          </w:tcPr>
          <w:p w14:paraId="3D4EF13F">
            <w:pPr>
              <w:pStyle w:val="84"/>
              <w:jc w:val="center"/>
            </w:pPr>
            <w:r>
              <w:t>79.99 ± 0.63</w:t>
            </w:r>
          </w:p>
        </w:tc>
        <w:tc>
          <w:tcPr>
            <w:tcW w:w="1057" w:type="dxa"/>
            <w:vAlign w:val="center"/>
          </w:tcPr>
          <w:p w14:paraId="00BCC8F3">
            <w:pPr>
              <w:pStyle w:val="84"/>
              <w:jc w:val="center"/>
            </w:pPr>
            <w:r>
              <w:t>+4.98</w:t>
            </w:r>
          </w:p>
        </w:tc>
      </w:tr>
      <w:tr w14:paraId="288794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1BA2D414">
            <w:pPr>
              <w:pStyle w:val="84"/>
              <w:jc w:val="left"/>
            </w:pPr>
            <w:r>
              <w:t>4 卷积 + BN（RGB，64 通道）</w:t>
            </w:r>
          </w:p>
        </w:tc>
        <w:tc>
          <w:tcPr>
            <w:tcW w:w="809" w:type="dxa"/>
            <w:vAlign w:val="center"/>
          </w:tcPr>
          <w:p w14:paraId="327B2CBC">
            <w:pPr>
              <w:pStyle w:val="84"/>
              <w:jc w:val="center"/>
            </w:pPr>
            <w:r>
              <w:t>5</w:t>
            </w:r>
          </w:p>
        </w:tc>
        <w:tc>
          <w:tcPr>
            <w:tcW w:w="971" w:type="dxa"/>
            <w:vAlign w:val="center"/>
          </w:tcPr>
          <w:p w14:paraId="7150DEDC">
            <w:pPr>
              <w:pStyle w:val="84"/>
              <w:jc w:val="center"/>
            </w:pPr>
            <w:r>
              <w:t>10</w:t>
            </w:r>
          </w:p>
        </w:tc>
        <w:tc>
          <w:tcPr>
            <w:tcW w:w="1133" w:type="dxa"/>
            <w:vAlign w:val="center"/>
          </w:tcPr>
          <w:p w14:paraId="46FFDC68">
            <w:pPr>
              <w:pStyle w:val="84"/>
              <w:jc w:val="center"/>
            </w:pPr>
            <w:r>
              <w:t>否</w:t>
            </w:r>
          </w:p>
        </w:tc>
        <w:tc>
          <w:tcPr>
            <w:tcW w:w="1295" w:type="dxa"/>
            <w:vAlign w:val="center"/>
          </w:tcPr>
          <w:p w14:paraId="1E464D23">
            <w:pPr>
              <w:pStyle w:val="84"/>
              <w:jc w:val="center"/>
            </w:pPr>
            <w:r>
              <w:rPr>
                <w:b/>
                <w:bCs/>
              </w:rPr>
              <w:t>87.90 ± 0.29</w:t>
            </w:r>
          </w:p>
        </w:tc>
        <w:tc>
          <w:tcPr>
            <w:tcW w:w="1295" w:type="dxa"/>
            <w:vAlign w:val="center"/>
          </w:tcPr>
          <w:p w14:paraId="7DEF54CA">
            <w:pPr>
              <w:pStyle w:val="84"/>
              <w:jc w:val="center"/>
            </w:pPr>
            <w:r>
              <w:t>81.85 ± 0.70</w:t>
            </w:r>
          </w:p>
        </w:tc>
        <w:tc>
          <w:tcPr>
            <w:tcW w:w="1057" w:type="dxa"/>
            <w:vAlign w:val="center"/>
          </w:tcPr>
          <w:p w14:paraId="139077E9">
            <w:pPr>
              <w:pStyle w:val="84"/>
              <w:jc w:val="center"/>
            </w:pPr>
            <w:r>
              <w:t>+6.05</w:t>
            </w:r>
          </w:p>
        </w:tc>
      </w:tr>
    </w:tbl>
    <w:p w14:paraId="7000D266">
      <w:pPr>
        <w:pStyle w:val="83"/>
      </w:pPr>
      <w:r>
        <w:t xml:space="preserve">注：FC-deep 的 </w:t>
      </w:r>
      <w:r>
        <w:rPr>
          <w:i/>
          <w:iCs/>
        </w:rPr>
        <w:t>D</w:t>
      </w:r>
      <w:r>
        <w:t xml:space="preserve"> 为非线性层数，乘法深度 = 1 + 2</w:t>
      </w:r>
      <w:r>
        <w:rPr>
          <w:i/>
          <w:iCs/>
        </w:rPr>
        <w:t>D</w:t>
      </w:r>
      <w:r>
        <w:t>。卷积网络均为 hidden 256、50 轮；</w:t>
      </w:r>
      <w:r>
        <w:rPr>
          <w:rFonts w:hint="eastAsia"/>
          <w:lang w:val="en-US" w:eastAsia="zh-CN"/>
        </w:rPr>
        <w:t>要注意的是</w:t>
      </w:r>
      <w:r>
        <w:t xml:space="preserve"> 4 卷积 P</w:t>
      </w:r>
      <w:r>
        <w:rPr>
          <w:vertAlign w:val="subscript"/>
        </w:rPr>
        <w:t>2</w:t>
      </w:r>
      <w:r>
        <w:t xml:space="preserve"> 一行，它在 lr = 10⁻³、50 轮下不稳定（76.13 ± 3.38%），表中为 lr = 5×10⁻⁴、100 轮的结果。深层模型的密文实现尚未完成（P</w:t>
      </w:r>
      <w:r>
        <w:rPr>
          <w:vertAlign w:val="subscript"/>
        </w:rPr>
        <w:t>2</w:t>
      </w:r>
      <w:r>
        <w:t xml:space="preserve"> → 卷积的打包卷积未实现），密文端精度【待补】。</w:t>
      </w:r>
    </w:p>
    <w:p w14:paraId="253F9493">
      <w:pPr>
        <w:pStyle w:val="3"/>
      </w:pPr>
      <w:r>
        <w:t>ReLU 相对 P</w:t>
      </w:r>
      <w:r>
        <w:rPr>
          <w:vertAlign w:val="subscript"/>
        </w:rPr>
        <w:t>2</w:t>
      </w:r>
      <w:r>
        <w:t xml:space="preserve"> 的优势随深度单调扩大：FC-deep 从 +0.22 增至 +3.39，卷积网络从 +1.95 增至 +6.05 个百分点。乘法深度超过 6 的模型无法以 HE-only 方式部署：当前参数下可部署的零交互基线是 2 卷积 + P</w:t>
      </w:r>
      <w:r>
        <w:rPr>
          <w:vertAlign w:val="subscript"/>
        </w:rPr>
        <w:t>2</w:t>
      </w:r>
      <w:r>
        <w:t>（78.59%），4 卷积 + ReLU 的明文精度为 87.90%，高 9.31 个百分点。深网的精度必须用 Hybrid 层换取乘法深度，这正是 Hybrid 原语“再加密重置深度预算”的价值所在；但这一结论目前只有明文证据。</w:t>
      </w:r>
    </w:p>
    <w:bookmarkEnd w:id="35"/>
    <w:p w14:paraId="319AB4CB">
      <w:pPr>
        <w:pStyle w:val="5"/>
      </w:pPr>
      <w:bookmarkStart w:id="36" w:name="client-cost"/>
      <w:r>
        <w:t>7.3 Client Cost</w:t>
      </w:r>
    </w:p>
    <w:p w14:paraId="75205BA0">
      <w:pPr>
        <w:pStyle w:val="23"/>
      </w:pPr>
      <w:r>
        <w:rPr>
          <w:b/>
          <w:bCs/>
        </w:rPr>
        <w:t>在线计算时间。</w:t>
      </w:r>
      <w:r>
        <w:t xml:space="preserve"> 客户端在线时间按 </w:t>
      </w:r>
      <w:r>
        <w:rPr>
          <w:i/>
          <w:iCs/>
        </w:rPr>
        <w:t>T</w:t>
      </w:r>
      <w:r>
        <w:rPr>
          <w:vertAlign w:val="subscript"/>
        </w:rPr>
        <w:t>client</w:t>
      </w:r>
      <w:r>
        <w:t xml:space="preserve"> = </w:t>
      </w:r>
      <w:r>
        <w:rPr>
          <w:i/>
          <w:iCs/>
        </w:rPr>
        <w:t>T</w:t>
      </w:r>
      <w:r>
        <w:rPr>
          <w:vertAlign w:val="subscript"/>
        </w:rPr>
        <w:t>encode</w:t>
      </w:r>
      <w:r>
        <w:t xml:space="preserve"> + </w:t>
      </w:r>
      <w:r>
        <w:rPr>
          <w:i/>
          <w:iCs/>
        </w:rPr>
        <w:t>T</w:t>
      </w:r>
      <w:r>
        <w:rPr>
          <w:vertAlign w:val="subscript"/>
        </w:rPr>
        <w:t>enc</w:t>
      </w:r>
      <w:r>
        <w:t xml:space="preserve"> + </w:t>
      </w:r>
      <w:r>
        <w:rPr>
          <w:i/>
          <w:iCs/>
        </w:rPr>
        <w:t>T</w:t>
      </w:r>
      <w:r>
        <w:rPr>
          <w:vertAlign w:val="subscript"/>
        </w:rPr>
        <w:t>dec</w:t>
      </w:r>
      <w:r>
        <w:t xml:space="preserve"> + </w:t>
      </w:r>
      <w:r>
        <w:rPr>
          <w:i/>
          <w:iCs/>
        </w:rPr>
        <w:t>T</w:t>
      </w:r>
      <w:r>
        <w:rPr>
          <w:vertAlign w:val="subscript"/>
        </w:rPr>
        <w:t>post</w:t>
      </w:r>
      <w:r>
        <w:t xml:space="preserve"> 分解。表 7-7 并列给出桌面机与 Raspberry Pi 5 的 HE-only 客户端开销。</w:t>
      </w:r>
    </w:p>
    <w:p w14:paraId="0B805E53">
      <w:pPr>
        <w:pStyle w:val="44"/>
      </w:pPr>
      <w:r>
        <w:t>表 7-7：HE-only（</w:t>
      </w:r>
      <w:r>
        <w:rPr>
          <w:i/>
          <w:iCs/>
        </w:rPr>
        <w:t>s</w:t>
      </w:r>
      <w:r>
        <w:t xml:space="preserve"> = 00）客户端在线时间（SEAL 4.1.2，单位 ms，均值 ± 种子间标准差）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898"/>
        <w:gridCol w:w="1265"/>
        <w:gridCol w:w="1687"/>
        <w:gridCol w:w="1687"/>
        <w:gridCol w:w="1581"/>
        <w:gridCol w:w="952"/>
      </w:tblGrid>
      <w:tr w14:paraId="7F477F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898" w:type="dxa"/>
            <w:vAlign w:val="center"/>
          </w:tcPr>
          <w:p w14:paraId="6BD38CA5">
            <w:pPr>
              <w:pStyle w:val="84"/>
              <w:jc w:val="left"/>
            </w:pPr>
            <w:r>
              <w:t>设备</w:t>
            </w:r>
          </w:p>
        </w:tc>
        <w:tc>
          <w:tcPr>
            <w:tcW w:w="1265" w:type="dxa"/>
            <w:vAlign w:val="center"/>
          </w:tcPr>
          <w:p w14:paraId="503B1E8F">
            <w:pPr>
              <w:pStyle w:val="84"/>
              <w:jc w:val="left"/>
            </w:pPr>
            <w:r>
              <w:t>数据集</w:t>
            </w:r>
          </w:p>
        </w:tc>
        <w:tc>
          <w:tcPr>
            <w:tcW w:w="1687" w:type="dxa"/>
            <w:vAlign w:val="center"/>
          </w:tcPr>
          <w:p w14:paraId="56946A6E">
            <w:pPr>
              <w:pStyle w:val="84"/>
              <w:jc w:val="center"/>
            </w:pPr>
            <w:r>
              <w:t>编码 + 加密</w:t>
            </w:r>
          </w:p>
        </w:tc>
        <w:tc>
          <w:tcPr>
            <w:tcW w:w="1687" w:type="dxa"/>
            <w:vAlign w:val="center"/>
          </w:tcPr>
          <w:p w14:paraId="712DF852">
            <w:pPr>
              <w:pStyle w:val="84"/>
              <w:jc w:val="center"/>
            </w:pPr>
            <w:r>
              <w:t xml:space="preserve">其中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enc</w:t>
            </w:r>
          </w:p>
        </w:tc>
        <w:tc>
          <w:tcPr>
            <w:tcW w:w="1581" w:type="dxa"/>
            <w:vAlign w:val="center"/>
          </w:tcPr>
          <w:p w14:paraId="0E8D1E68">
            <w:pPr>
              <w:pStyle w:val="84"/>
              <w:jc w:val="center"/>
            </w:pP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dec</w:t>
            </w:r>
          </w:p>
        </w:tc>
        <w:tc>
          <w:tcPr>
            <w:tcW w:w="952" w:type="dxa"/>
            <w:vAlign w:val="center"/>
          </w:tcPr>
          <w:p w14:paraId="12D22E27">
            <w:pPr>
              <w:pStyle w:val="84"/>
              <w:jc w:val="center"/>
            </w:pP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post</w:t>
            </w:r>
          </w:p>
        </w:tc>
      </w:tr>
      <w:tr w14:paraId="6FCB11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578E8845">
            <w:pPr>
              <w:pStyle w:val="84"/>
              <w:jc w:val="left"/>
            </w:pPr>
            <w:r>
              <w:t>桌面机</w:t>
            </w:r>
          </w:p>
        </w:tc>
        <w:tc>
          <w:tcPr>
            <w:tcW w:w="1265" w:type="dxa"/>
            <w:vAlign w:val="center"/>
          </w:tcPr>
          <w:p w14:paraId="49CD0168">
            <w:pPr>
              <w:pStyle w:val="84"/>
              <w:jc w:val="left"/>
            </w:pPr>
            <w:r>
              <w:t>MNIST</w:t>
            </w:r>
          </w:p>
        </w:tc>
        <w:tc>
          <w:tcPr>
            <w:tcW w:w="1687" w:type="dxa"/>
            <w:vAlign w:val="center"/>
          </w:tcPr>
          <w:p w14:paraId="5AF9B525">
            <w:pPr>
              <w:pStyle w:val="84"/>
              <w:jc w:val="center"/>
            </w:pPr>
            <w:r>
              <w:t>3.84 ± 0.06</w:t>
            </w:r>
          </w:p>
        </w:tc>
        <w:tc>
          <w:tcPr>
            <w:tcW w:w="1687" w:type="dxa"/>
            <w:vAlign w:val="center"/>
          </w:tcPr>
          <w:p w14:paraId="13CDD919">
            <w:pPr>
              <w:pStyle w:val="84"/>
              <w:jc w:val="center"/>
            </w:pPr>
            <w:r>
              <w:t>3.77 ± 0.06</w:t>
            </w:r>
          </w:p>
        </w:tc>
        <w:tc>
          <w:tcPr>
            <w:tcW w:w="1581" w:type="dxa"/>
            <w:vAlign w:val="center"/>
          </w:tcPr>
          <w:p w14:paraId="27EAB44C">
            <w:pPr>
              <w:pStyle w:val="84"/>
              <w:jc w:val="center"/>
            </w:pPr>
            <w:r>
              <w:t>0.36 ± 0.01</w:t>
            </w:r>
          </w:p>
        </w:tc>
        <w:tc>
          <w:tcPr>
            <w:tcW w:w="952" w:type="dxa"/>
            <w:vAlign w:val="center"/>
          </w:tcPr>
          <w:p w14:paraId="0D0F0FB5">
            <w:pPr>
              <w:pStyle w:val="84"/>
              <w:jc w:val="center"/>
            </w:pPr>
            <w:r>
              <w:t>0.014</w:t>
            </w:r>
          </w:p>
        </w:tc>
      </w:tr>
      <w:tr w14:paraId="78EF3E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663CD26A">
            <w:pPr>
              <w:pStyle w:val="84"/>
              <w:jc w:val="left"/>
            </w:pPr>
            <w:r>
              <w:t>桌面机</w:t>
            </w:r>
          </w:p>
        </w:tc>
        <w:tc>
          <w:tcPr>
            <w:tcW w:w="1265" w:type="dxa"/>
            <w:vAlign w:val="center"/>
          </w:tcPr>
          <w:p w14:paraId="3B07F239">
            <w:pPr>
              <w:pStyle w:val="84"/>
              <w:jc w:val="left"/>
            </w:pPr>
            <w:r>
              <w:t>CIFAR-10</w:t>
            </w:r>
          </w:p>
        </w:tc>
        <w:tc>
          <w:tcPr>
            <w:tcW w:w="1687" w:type="dxa"/>
            <w:vAlign w:val="center"/>
          </w:tcPr>
          <w:p w14:paraId="470E63E5">
            <w:pPr>
              <w:pStyle w:val="84"/>
              <w:jc w:val="center"/>
            </w:pPr>
            <w:r>
              <w:t>3.74 ± 0.02</w:t>
            </w:r>
          </w:p>
        </w:tc>
        <w:tc>
          <w:tcPr>
            <w:tcW w:w="1687" w:type="dxa"/>
            <w:vAlign w:val="center"/>
          </w:tcPr>
          <w:p w14:paraId="0A6C8363">
            <w:pPr>
              <w:pStyle w:val="84"/>
              <w:jc w:val="center"/>
            </w:pPr>
            <w:r>
              <w:t>3.63 ± 0.01</w:t>
            </w:r>
          </w:p>
        </w:tc>
        <w:tc>
          <w:tcPr>
            <w:tcW w:w="1581" w:type="dxa"/>
            <w:vAlign w:val="center"/>
          </w:tcPr>
          <w:p w14:paraId="22BCFE47">
            <w:pPr>
              <w:pStyle w:val="84"/>
              <w:jc w:val="center"/>
            </w:pPr>
            <w:r>
              <w:t>0.36 ± 0.00</w:t>
            </w:r>
          </w:p>
        </w:tc>
        <w:tc>
          <w:tcPr>
            <w:tcW w:w="952" w:type="dxa"/>
            <w:vAlign w:val="center"/>
          </w:tcPr>
          <w:p w14:paraId="027D35EC">
            <w:pPr>
              <w:pStyle w:val="84"/>
              <w:jc w:val="center"/>
            </w:pPr>
            <w:r>
              <w:t>0.014</w:t>
            </w:r>
          </w:p>
        </w:tc>
      </w:tr>
      <w:tr w14:paraId="5CAE4D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72DBCACA">
            <w:pPr>
              <w:pStyle w:val="84"/>
              <w:jc w:val="left"/>
            </w:pPr>
            <w:r>
              <w:t>桌面机</w:t>
            </w:r>
          </w:p>
        </w:tc>
        <w:tc>
          <w:tcPr>
            <w:tcW w:w="1265" w:type="dxa"/>
            <w:vAlign w:val="center"/>
          </w:tcPr>
          <w:p w14:paraId="3B0776B7">
            <w:pPr>
              <w:pStyle w:val="84"/>
              <w:jc w:val="left"/>
            </w:pPr>
            <w:r>
              <w:t>UCI HAR</w:t>
            </w:r>
          </w:p>
        </w:tc>
        <w:tc>
          <w:tcPr>
            <w:tcW w:w="1687" w:type="dxa"/>
            <w:vAlign w:val="center"/>
          </w:tcPr>
          <w:p w14:paraId="32498FC2">
            <w:pPr>
              <w:pStyle w:val="84"/>
              <w:jc w:val="center"/>
            </w:pPr>
            <w:r>
              <w:t>3.77 ± 0.01</w:t>
            </w:r>
          </w:p>
        </w:tc>
        <w:tc>
          <w:tcPr>
            <w:tcW w:w="1687" w:type="dxa"/>
            <w:vAlign w:val="center"/>
          </w:tcPr>
          <w:p w14:paraId="5DADF1EB">
            <w:pPr>
              <w:pStyle w:val="84"/>
              <w:jc w:val="center"/>
            </w:pPr>
            <w:r>
              <w:t>3.63 ± 0.02</w:t>
            </w:r>
          </w:p>
        </w:tc>
        <w:tc>
          <w:tcPr>
            <w:tcW w:w="1581" w:type="dxa"/>
            <w:vAlign w:val="center"/>
          </w:tcPr>
          <w:p w14:paraId="5450766F">
            <w:pPr>
              <w:pStyle w:val="84"/>
              <w:jc w:val="center"/>
            </w:pPr>
            <w:r>
              <w:t>0.33 ± 0.00</w:t>
            </w:r>
          </w:p>
        </w:tc>
        <w:tc>
          <w:tcPr>
            <w:tcW w:w="952" w:type="dxa"/>
            <w:vAlign w:val="center"/>
          </w:tcPr>
          <w:p w14:paraId="7396107E">
            <w:pPr>
              <w:pStyle w:val="84"/>
              <w:jc w:val="center"/>
            </w:pPr>
            <w:r>
              <w:t>0.015</w:t>
            </w:r>
          </w:p>
        </w:tc>
      </w:tr>
      <w:tr w14:paraId="4478C8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02A6E462">
            <w:pPr>
              <w:pStyle w:val="84"/>
              <w:jc w:val="left"/>
            </w:pPr>
            <w:r>
              <w:t>Raspberry Pi 5</w:t>
            </w:r>
          </w:p>
        </w:tc>
        <w:tc>
          <w:tcPr>
            <w:tcW w:w="1265" w:type="dxa"/>
            <w:vAlign w:val="center"/>
          </w:tcPr>
          <w:p w14:paraId="7939DB61">
            <w:pPr>
              <w:pStyle w:val="84"/>
              <w:jc w:val="left"/>
            </w:pPr>
            <w:r>
              <w:t>MNIST</w:t>
            </w:r>
          </w:p>
        </w:tc>
        <w:tc>
          <w:tcPr>
            <w:tcW w:w="1687" w:type="dxa"/>
            <w:vAlign w:val="center"/>
          </w:tcPr>
          <w:p w14:paraId="0040EEFE">
            <w:pPr>
              <w:pStyle w:val="84"/>
              <w:jc w:val="center"/>
            </w:pPr>
            <w:r>
              <w:t>18.47 ± 0.04</w:t>
            </w:r>
          </w:p>
        </w:tc>
        <w:tc>
          <w:tcPr>
            <w:tcW w:w="1687" w:type="dxa"/>
            <w:vAlign w:val="center"/>
          </w:tcPr>
          <w:p w14:paraId="4ADA98EA">
            <w:pPr>
              <w:pStyle w:val="84"/>
              <w:jc w:val="center"/>
            </w:pPr>
            <w:r>
              <w:t>17.91 ± 0.03</w:t>
            </w:r>
          </w:p>
        </w:tc>
        <w:tc>
          <w:tcPr>
            <w:tcW w:w="1581" w:type="dxa"/>
            <w:vAlign w:val="center"/>
          </w:tcPr>
          <w:p w14:paraId="2F0480B2">
            <w:pPr>
              <w:pStyle w:val="84"/>
              <w:jc w:val="center"/>
            </w:pPr>
            <w:r>
              <w:t>1.71 ± 0.00</w:t>
            </w:r>
          </w:p>
        </w:tc>
        <w:tc>
          <w:tcPr>
            <w:tcW w:w="952" w:type="dxa"/>
            <w:vAlign w:val="center"/>
          </w:tcPr>
          <w:p w14:paraId="64A53CC5">
            <w:pPr>
              <w:pStyle w:val="84"/>
              <w:jc w:val="center"/>
            </w:pPr>
            <w:r>
              <w:t>0.027</w:t>
            </w:r>
          </w:p>
        </w:tc>
      </w:tr>
      <w:tr w14:paraId="1772A6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0E4CFACD">
            <w:pPr>
              <w:pStyle w:val="84"/>
              <w:jc w:val="left"/>
            </w:pPr>
            <w:r>
              <w:t>Raspberry Pi 5</w:t>
            </w:r>
          </w:p>
        </w:tc>
        <w:tc>
          <w:tcPr>
            <w:tcW w:w="1265" w:type="dxa"/>
            <w:vAlign w:val="center"/>
          </w:tcPr>
          <w:p w14:paraId="2EE48932">
            <w:pPr>
              <w:pStyle w:val="84"/>
              <w:jc w:val="left"/>
            </w:pPr>
            <w:r>
              <w:t>CIFAR-10</w:t>
            </w:r>
          </w:p>
        </w:tc>
        <w:tc>
          <w:tcPr>
            <w:tcW w:w="1687" w:type="dxa"/>
            <w:vAlign w:val="center"/>
          </w:tcPr>
          <w:p w14:paraId="2782F95A">
            <w:pPr>
              <w:pStyle w:val="84"/>
              <w:jc w:val="center"/>
            </w:pPr>
            <w:r>
              <w:t>18.41 ± 0.08</w:t>
            </w:r>
          </w:p>
        </w:tc>
        <w:tc>
          <w:tcPr>
            <w:tcW w:w="1687" w:type="dxa"/>
            <w:vAlign w:val="center"/>
          </w:tcPr>
          <w:p w14:paraId="49B6CD8F">
            <w:pPr>
              <w:pStyle w:val="84"/>
              <w:jc w:val="center"/>
            </w:pPr>
            <w:r>
              <w:t>17.88 ± 0.08</w:t>
            </w:r>
          </w:p>
        </w:tc>
        <w:tc>
          <w:tcPr>
            <w:tcW w:w="1581" w:type="dxa"/>
            <w:vAlign w:val="center"/>
          </w:tcPr>
          <w:p w14:paraId="5CE794F5">
            <w:pPr>
              <w:pStyle w:val="84"/>
              <w:jc w:val="center"/>
            </w:pPr>
            <w:r>
              <w:t>1.76 ± 0.02</w:t>
            </w:r>
          </w:p>
        </w:tc>
        <w:tc>
          <w:tcPr>
            <w:tcW w:w="952" w:type="dxa"/>
            <w:vAlign w:val="center"/>
          </w:tcPr>
          <w:p w14:paraId="20740A51">
            <w:pPr>
              <w:pStyle w:val="84"/>
              <w:jc w:val="center"/>
            </w:pPr>
            <w:r>
              <w:t>0.027</w:t>
            </w:r>
          </w:p>
        </w:tc>
      </w:tr>
      <w:tr w14:paraId="443E28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04F475D7">
            <w:pPr>
              <w:pStyle w:val="84"/>
              <w:jc w:val="left"/>
            </w:pPr>
            <w:r>
              <w:t>Raspberry Pi 5</w:t>
            </w:r>
          </w:p>
        </w:tc>
        <w:tc>
          <w:tcPr>
            <w:tcW w:w="1265" w:type="dxa"/>
            <w:vAlign w:val="center"/>
          </w:tcPr>
          <w:p w14:paraId="1500F042">
            <w:pPr>
              <w:pStyle w:val="84"/>
              <w:jc w:val="left"/>
            </w:pPr>
            <w:r>
              <w:t>UCI HAR</w:t>
            </w:r>
          </w:p>
        </w:tc>
        <w:tc>
          <w:tcPr>
            <w:tcW w:w="1687" w:type="dxa"/>
            <w:vAlign w:val="center"/>
          </w:tcPr>
          <w:p w14:paraId="7D00F72E">
            <w:pPr>
              <w:pStyle w:val="84"/>
              <w:jc w:val="center"/>
            </w:pPr>
            <w:r>
              <w:t>18.55 ± 0.04</w:t>
            </w:r>
          </w:p>
        </w:tc>
        <w:tc>
          <w:tcPr>
            <w:tcW w:w="1687" w:type="dxa"/>
            <w:vAlign w:val="center"/>
          </w:tcPr>
          <w:p w14:paraId="30B4CD90">
            <w:pPr>
              <w:pStyle w:val="84"/>
              <w:jc w:val="center"/>
            </w:pPr>
            <w:r>
              <w:t>17.82 ± 0.05</w:t>
            </w:r>
          </w:p>
        </w:tc>
        <w:tc>
          <w:tcPr>
            <w:tcW w:w="1581" w:type="dxa"/>
            <w:vAlign w:val="center"/>
          </w:tcPr>
          <w:p w14:paraId="2785273D">
            <w:pPr>
              <w:pStyle w:val="84"/>
              <w:jc w:val="center"/>
            </w:pPr>
            <w:r>
              <w:t>1.70 ± 0.01</w:t>
            </w:r>
          </w:p>
        </w:tc>
        <w:tc>
          <w:tcPr>
            <w:tcW w:w="952" w:type="dxa"/>
            <w:vAlign w:val="center"/>
          </w:tcPr>
          <w:p w14:paraId="21336125">
            <w:pPr>
              <w:pStyle w:val="84"/>
              <w:jc w:val="center"/>
            </w:pPr>
            <w:r>
              <w:t>0.027</w:t>
            </w:r>
          </w:p>
        </w:tc>
      </w:tr>
    </w:tbl>
    <w:p w14:paraId="435FCA03">
      <w:pPr>
        <w:pStyle w:val="83"/>
      </w:pPr>
      <w:r>
        <w:t>注：桌面机 MNIST 为 5 个种子，CIFAR-10 / UCI HAR 剔除并发污染的 seed 73 后为 4 个种子；Pi 5 为 5 个种子。</w:t>
      </w:r>
      <w:r>
        <w:rPr>
          <w:i/>
          <w:iCs/>
        </w:rPr>
        <w:t>T</w:t>
      </w:r>
      <w:r>
        <w:rPr>
          <w:vertAlign w:val="subscript"/>
        </w:rPr>
        <w:t>enc</w:t>
      </w:r>
      <w:r>
        <w:t xml:space="preserve"> 为同槽位零向量加密的标定项，与输入内容无关。</w:t>
      </w:r>
    </w:p>
    <w:p w14:paraId="158FED8F">
      <w:pPr>
        <w:pStyle w:val="3"/>
      </w:pPr>
      <w:r>
        <w:t>在 Pi 5 上，客户端每次 HE-only 查询的在线计算约 20 ms（编码 + 加密 18.5 ms，解密 1.7 ms），约为桌面机的 4.7 倍（Pi 5 无 AVX2，SEAL 走 NEON），仍在毫秒级。客户端不执行旋转、重线性化或自举。</w:t>
      </w:r>
    </w:p>
    <w:p w14:paraId="07F3A0FD">
      <w:pPr>
        <w:pStyle w:val="3"/>
      </w:pPr>
      <w:r>
        <w:rPr>
          <w:b/>
          <w:bCs/>
        </w:rPr>
        <w:t>Hybrid 层的客户端边际开销。</w:t>
      </w:r>
      <w:r>
        <w:t xml:space="preserve"> 每个 Hybrid 层给客户端增加一次解密（得到份额）、一次 SCI 两方 ReLU 和一次份额再加密。表 7-8 给出由 E1 密文评测样本拟合的成本模型（桌面机）。</w:t>
      </w:r>
    </w:p>
    <w:p w14:paraId="04A1FBA8">
      <w:pPr>
        <w:pStyle w:val="44"/>
      </w:pPr>
      <w:r>
        <w:t>表 7-8：每个 Hybrid 层的客户端边际开销（桌面机，SEAL + SCI，成本模型拟合）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053"/>
        <w:gridCol w:w="2963"/>
        <w:gridCol w:w="3054"/>
      </w:tblGrid>
      <w:tr w14:paraId="03CD8C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053" w:type="dxa"/>
            <w:vAlign w:val="center"/>
          </w:tcPr>
          <w:p w14:paraId="751046DC">
            <w:pPr>
              <w:pStyle w:val="84"/>
              <w:jc w:val="left"/>
            </w:pPr>
            <w:r>
              <w:t>项</w:t>
            </w:r>
          </w:p>
        </w:tc>
        <w:tc>
          <w:tcPr>
            <w:tcW w:w="2963" w:type="dxa"/>
            <w:vAlign w:val="center"/>
          </w:tcPr>
          <w:p w14:paraId="200DC8E4">
            <w:pPr>
              <w:pStyle w:val="84"/>
              <w:jc w:val="center"/>
            </w:pPr>
            <w:r>
              <w:t>数值</w:t>
            </w:r>
          </w:p>
        </w:tc>
        <w:tc>
          <w:tcPr>
            <w:tcW w:w="3054" w:type="dxa"/>
            <w:vAlign w:val="center"/>
          </w:tcPr>
          <w:p w14:paraId="3D3C0003">
            <w:pPr>
              <w:pStyle w:val="84"/>
              <w:jc w:val="left"/>
            </w:pPr>
            <w:r>
              <w:t>拟合依据</w:t>
            </w:r>
          </w:p>
        </w:tc>
      </w:tr>
      <w:tr w14:paraId="7404A1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053" w:type="dxa"/>
            <w:vAlign w:val="center"/>
          </w:tcPr>
          <w:p w14:paraId="73D99D0A">
            <w:pPr>
              <w:pStyle w:val="84"/>
              <w:jc w:val="left"/>
            </w:pPr>
            <w:r>
              <w:t xml:space="preserve">份额解密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dec</w:t>
            </w:r>
          </w:p>
        </w:tc>
        <w:tc>
          <w:tcPr>
            <w:tcW w:w="2963" w:type="dxa"/>
            <w:vAlign w:val="center"/>
          </w:tcPr>
          <w:p w14:paraId="113624C2">
            <w:pPr>
              <w:pStyle w:val="84"/>
              <w:jc w:val="center"/>
            </w:pPr>
            <w:r>
              <w:t>3.27 ms</w:t>
            </w:r>
          </w:p>
        </w:tc>
        <w:tc>
          <w:tcPr>
            <w:tcW w:w="3054" w:type="dxa"/>
            <w:vAlign w:val="center"/>
          </w:tcPr>
          <w:p w14:paraId="112F156B">
            <w:pPr>
              <w:pStyle w:val="84"/>
              <w:jc w:val="left"/>
            </w:pPr>
            <w:r>
              <w:t>E1 逐样本记录，</w:t>
            </w:r>
            <w:r>
              <w:rPr>
                <w:i/>
                <w:iCs/>
              </w:rPr>
              <w:t>n</w:t>
            </w:r>
            <w:r>
              <w:t xml:space="preserve"> = 3,840</w:t>
            </w:r>
          </w:p>
        </w:tc>
      </w:tr>
      <w:tr w14:paraId="05C888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053" w:type="dxa"/>
            <w:vAlign w:val="center"/>
          </w:tcPr>
          <w:p w14:paraId="647F1EB5">
            <w:pPr>
              <w:pStyle w:val="84"/>
              <w:jc w:val="left"/>
            </w:pPr>
            <w:r>
              <w:t xml:space="preserve">份额再加密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reenc</w:t>
            </w:r>
          </w:p>
        </w:tc>
        <w:tc>
          <w:tcPr>
            <w:tcW w:w="2963" w:type="dxa"/>
            <w:vAlign w:val="center"/>
          </w:tcPr>
          <w:p w14:paraId="57C2015E">
            <w:pPr>
              <w:pStyle w:val="84"/>
              <w:jc w:val="center"/>
            </w:pPr>
            <w:r>
              <w:t>5.62 ms</w:t>
            </w:r>
          </w:p>
        </w:tc>
        <w:tc>
          <w:tcPr>
            <w:tcW w:w="3054" w:type="dxa"/>
            <w:vAlign w:val="center"/>
          </w:tcPr>
          <w:p w14:paraId="5FD9FE6F">
            <w:pPr>
              <w:pStyle w:val="84"/>
              <w:jc w:val="left"/>
            </w:pPr>
            <w:r>
              <w:t>同上</w:t>
            </w:r>
          </w:p>
        </w:tc>
      </w:tr>
      <w:tr w14:paraId="7AE598E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053" w:type="dxa"/>
            <w:vAlign w:val="center"/>
          </w:tcPr>
          <w:p w14:paraId="0F4B68AE">
            <w:pPr>
              <w:pStyle w:val="84"/>
              <w:jc w:val="left"/>
            </w:pPr>
            <w:r>
              <w:t>SCI ReLU</w:t>
            </w:r>
          </w:p>
        </w:tc>
        <w:tc>
          <w:tcPr>
            <w:tcW w:w="2963" w:type="dxa"/>
            <w:vAlign w:val="center"/>
          </w:tcPr>
          <w:p w14:paraId="2E80E660">
            <w:pPr>
              <w:pStyle w:val="84"/>
              <w:jc w:val="center"/>
            </w:pPr>
            <w:r>
              <w:t>9.66 ms / 层 + 3.74 µs / 元素</w:t>
            </w:r>
          </w:p>
        </w:tc>
        <w:tc>
          <w:tcPr>
            <w:tcW w:w="3054" w:type="dxa"/>
            <w:vAlign w:val="center"/>
          </w:tcPr>
          <w:p w14:paraId="67F2A662">
            <w:pPr>
              <w:pStyle w:val="84"/>
              <w:jc w:val="left"/>
            </w:pPr>
            <w:r>
              <w:t>最小二乘拟合，2,880 个 Hybrid 样本</w:t>
            </w:r>
          </w:p>
        </w:tc>
      </w:tr>
      <w:tr w14:paraId="78D313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053" w:type="dxa"/>
            <w:vAlign w:val="center"/>
          </w:tcPr>
          <w:p w14:paraId="38A6F6B5">
            <w:pPr>
              <w:pStyle w:val="84"/>
              <w:jc w:val="left"/>
            </w:pPr>
            <w:r>
              <w:t>例：CIFAR-10 第 1 层（1,200 元素）</w:t>
            </w:r>
          </w:p>
        </w:tc>
        <w:tc>
          <w:tcPr>
            <w:tcW w:w="2963" w:type="dxa"/>
            <w:vAlign w:val="center"/>
          </w:tcPr>
          <w:p w14:paraId="0DC44019">
            <w:pPr>
              <w:pStyle w:val="84"/>
              <w:jc w:val="center"/>
            </w:pPr>
            <w:r>
              <w:t>约 23 ms</w:t>
            </w:r>
          </w:p>
        </w:tc>
        <w:tc>
          <w:tcPr>
            <w:tcW w:w="3054" w:type="dxa"/>
            <w:vAlign w:val="center"/>
          </w:tcPr>
          <w:p w14:paraId="2C55795B">
            <w:pPr>
              <w:pStyle w:val="84"/>
              <w:jc w:val="left"/>
            </w:pPr>
            <w:r>
              <w:t>3.27 + 5.62 + 9.66 + 1,200 × 0.00374</w:t>
            </w:r>
          </w:p>
        </w:tc>
      </w:tr>
    </w:tbl>
    <w:p w14:paraId="621A4863">
      <w:pPr>
        <w:pStyle w:val="83"/>
      </w:pPr>
      <w:r>
        <w:t>注：SCI 的 OT 字节数尚未记录【待补】；Pi 5 上的 Hybrid 层开销【待补】。</w:t>
      </w:r>
    </w:p>
    <w:p w14:paraId="67972667">
      <w:pPr>
        <w:pStyle w:val="3"/>
      </w:pPr>
      <w:r>
        <w:rPr>
          <w:rFonts w:hint="eastAsia"/>
          <w:b/>
          <w:bCs/>
          <w:lang w:val="en-US" w:eastAsia="zh-CN"/>
        </w:rPr>
        <w:t>对于客户端</w:t>
      </w:r>
      <w:r>
        <w:rPr>
          <w:b/>
          <w:bCs/>
        </w:rPr>
        <w:t>内存。</w:t>
      </w:r>
      <w:r>
        <w:t>我们把评估密钥逐帧生成并流式上传（客户端不常驻持有 Galois 密钥），并在服务端与客户端分进程的条件下测量客户端自身的峰值内存（表 7-9）。</w:t>
      </w:r>
    </w:p>
    <w:p w14:paraId="340E5657">
      <w:pPr>
        <w:pStyle w:val="44"/>
      </w:pPr>
      <w:r>
        <w:t>表 7-9：客户端峰值内存（桌面机，MNIST，客户端独立进程，含 SCI 运行时）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021"/>
        <w:gridCol w:w="2043"/>
        <w:gridCol w:w="2299"/>
        <w:gridCol w:w="1277"/>
        <w:gridCol w:w="2430"/>
      </w:tblGrid>
      <w:tr w14:paraId="7396E5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021" w:type="dxa"/>
            <w:vAlign w:val="center"/>
          </w:tcPr>
          <w:p w14:paraId="6473E4D2">
            <w:pPr>
              <w:pStyle w:val="84"/>
              <w:jc w:val="center"/>
            </w:pPr>
            <w:r>
              <w:t>调度</w:t>
            </w:r>
          </w:p>
        </w:tc>
        <w:tc>
          <w:tcPr>
            <w:tcW w:w="2043" w:type="dxa"/>
            <w:vAlign w:val="center"/>
          </w:tcPr>
          <w:p w14:paraId="1C11A8B2">
            <w:pPr>
              <w:pStyle w:val="84"/>
              <w:jc w:val="left"/>
            </w:pPr>
            <w:r>
              <w:t>密钥上传方式</w:t>
            </w:r>
          </w:p>
        </w:tc>
        <w:tc>
          <w:tcPr>
            <w:tcW w:w="2299" w:type="dxa"/>
            <w:vAlign w:val="center"/>
          </w:tcPr>
          <w:p w14:paraId="1071A5DC">
            <w:pPr>
              <w:pStyle w:val="84"/>
              <w:jc w:val="center"/>
            </w:pPr>
            <w:r>
              <w:t>客户端峰值内存</w:t>
            </w:r>
          </w:p>
        </w:tc>
        <w:tc>
          <w:tcPr>
            <w:tcW w:w="1277" w:type="dxa"/>
            <w:vAlign w:val="center"/>
          </w:tcPr>
          <w:p w14:paraId="356104CB">
            <w:pPr>
              <w:pStyle w:val="84"/>
              <w:jc w:val="center"/>
            </w:pPr>
            <w:r>
              <w:t>keygen</w:t>
            </w:r>
          </w:p>
        </w:tc>
        <w:tc>
          <w:tcPr>
            <w:tcW w:w="2430" w:type="dxa"/>
            <w:vAlign w:val="center"/>
          </w:tcPr>
          <w:p w14:paraId="3F0728D3">
            <w:pPr>
              <w:pStyle w:val="84"/>
              <w:jc w:val="center"/>
            </w:pPr>
            <w:r>
              <w:t>密钥生成 + 上传</w:t>
            </w:r>
          </w:p>
        </w:tc>
      </w:tr>
      <w:tr w14:paraId="27A660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21" w:type="dxa"/>
            <w:vAlign w:val="center"/>
          </w:tcPr>
          <w:p w14:paraId="05901BC2">
            <w:pPr>
              <w:pStyle w:val="84"/>
              <w:jc w:val="center"/>
            </w:pPr>
            <w:r>
              <w:t>00</w:t>
            </w:r>
          </w:p>
        </w:tc>
        <w:tc>
          <w:tcPr>
            <w:tcW w:w="2043" w:type="dxa"/>
            <w:vAlign w:val="center"/>
          </w:tcPr>
          <w:p w14:paraId="7A898663">
            <w:pPr>
              <w:pStyle w:val="84"/>
              <w:jc w:val="left"/>
            </w:pPr>
            <w:r>
              <w:t>逐帧流式</w:t>
            </w:r>
          </w:p>
        </w:tc>
        <w:tc>
          <w:tcPr>
            <w:tcW w:w="2299" w:type="dxa"/>
            <w:vAlign w:val="center"/>
          </w:tcPr>
          <w:p w14:paraId="2F65DB35">
            <w:pPr>
              <w:pStyle w:val="84"/>
              <w:jc w:val="center"/>
            </w:pPr>
            <w:r>
              <w:rPr>
                <w:b/>
                <w:bCs/>
              </w:rPr>
              <w:t>112.6 MB</w:t>
            </w:r>
          </w:p>
        </w:tc>
        <w:tc>
          <w:tcPr>
            <w:tcW w:w="1277" w:type="dxa"/>
            <w:vAlign w:val="center"/>
          </w:tcPr>
          <w:p w14:paraId="4AA2C501">
            <w:pPr>
              <w:pStyle w:val="84"/>
              <w:jc w:val="center"/>
            </w:pPr>
            <w:r>
              <w:t>0.05 s</w:t>
            </w:r>
          </w:p>
        </w:tc>
        <w:tc>
          <w:tcPr>
            <w:tcW w:w="2430" w:type="dxa"/>
            <w:vAlign w:val="center"/>
          </w:tcPr>
          <w:p w14:paraId="0D5665BD">
            <w:pPr>
              <w:pStyle w:val="84"/>
              <w:jc w:val="center"/>
            </w:pPr>
            <w:r>
              <w:t>0.81 s</w:t>
            </w:r>
          </w:p>
        </w:tc>
      </w:tr>
      <w:tr w14:paraId="37F3B2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21" w:type="dxa"/>
            <w:vAlign w:val="center"/>
          </w:tcPr>
          <w:p w14:paraId="5ADCDD0E">
            <w:pPr>
              <w:pStyle w:val="84"/>
              <w:jc w:val="center"/>
            </w:pPr>
            <w:r>
              <w:t>11</w:t>
            </w:r>
          </w:p>
        </w:tc>
        <w:tc>
          <w:tcPr>
            <w:tcW w:w="2043" w:type="dxa"/>
            <w:vAlign w:val="center"/>
          </w:tcPr>
          <w:p w14:paraId="7A8C7E44">
            <w:pPr>
              <w:pStyle w:val="84"/>
              <w:jc w:val="left"/>
            </w:pPr>
            <w:r>
              <w:t>逐帧流式</w:t>
            </w:r>
          </w:p>
        </w:tc>
        <w:tc>
          <w:tcPr>
            <w:tcW w:w="2299" w:type="dxa"/>
            <w:vAlign w:val="center"/>
          </w:tcPr>
          <w:p w14:paraId="5EEE5F05">
            <w:pPr>
              <w:pStyle w:val="84"/>
              <w:jc w:val="center"/>
            </w:pPr>
            <w:r>
              <w:rPr>
                <w:b/>
                <w:bCs/>
              </w:rPr>
              <w:t>111.0 MB</w:t>
            </w:r>
          </w:p>
        </w:tc>
        <w:tc>
          <w:tcPr>
            <w:tcW w:w="1277" w:type="dxa"/>
            <w:vAlign w:val="center"/>
          </w:tcPr>
          <w:p w14:paraId="33F84CBE">
            <w:pPr>
              <w:pStyle w:val="84"/>
              <w:jc w:val="center"/>
            </w:pPr>
            <w:r>
              <w:t>0.05 s</w:t>
            </w:r>
          </w:p>
        </w:tc>
        <w:tc>
          <w:tcPr>
            <w:tcW w:w="2430" w:type="dxa"/>
            <w:vAlign w:val="center"/>
          </w:tcPr>
          <w:p w14:paraId="12F06B77">
            <w:pPr>
              <w:pStyle w:val="84"/>
              <w:jc w:val="center"/>
            </w:pPr>
            <w:r>
              <w:t>0.85 s</w:t>
            </w:r>
          </w:p>
        </w:tc>
      </w:tr>
    </w:tbl>
    <w:p w14:paraId="036DE3CF">
      <w:pPr>
        <w:pStyle w:val="83"/>
      </w:pPr>
      <w:r>
        <w:t xml:space="preserve">注：每会话 2 次查询，单次测量，记录于 </w:t>
      </w:r>
      <w:r>
        <w:rPr>
          <w:rStyle w:val="48"/>
        </w:rPr>
        <w:t>docs/审阅_P1P2代码_2026-10-29.md</w:t>
      </w:r>
      <w:r>
        <w:t xml:space="preserve"> §6，结果文件尚未入库；Pi 5 上的流式密钥内存与多次重复【待补】。逐帧上传的总字节比一次性上传多 0.82%。</w:t>
      </w:r>
      <w:bookmarkStart w:id="42" w:name="_GoBack"/>
      <w:bookmarkEnd w:id="42"/>
    </w:p>
    <w:p w14:paraId="39439211">
      <w:pPr>
        <w:pStyle w:val="3"/>
      </w:pPr>
      <w:r>
        <w:t>流式密钥把客户端峰值内存从约 0.8 GB 降到约 110 MB，</w:t>
      </w:r>
      <w:r>
        <w:rPr>
          <w:i/>
          <w:iCs/>
        </w:rPr>
        <w:t>s</w:t>
      </w:r>
      <w:r>
        <w:t xml:space="preserve"> = 00 与 </w:t>
      </w:r>
      <w:r>
        <w:rPr>
          <w:i/>
          <w:iCs/>
        </w:rPr>
        <w:t>s</w:t>
      </w:r>
      <w:r>
        <w:t xml:space="preserve"> = 11 基本相同，说明 Hybrid 层不显著增加客户端内存。能耗实验（E6）尚未进行【待补】。</w:t>
      </w:r>
    </w:p>
    <w:bookmarkEnd w:id="36"/>
    <w:p w14:paraId="0643A8B1">
      <w:pPr>
        <w:pStyle w:val="5"/>
      </w:pPr>
      <w:bookmarkStart w:id="37" w:name="interaction-and-communication"/>
      <w:r>
        <w:t>7.4 Interaction and Communication</w:t>
      </w:r>
    </w:p>
    <w:p w14:paraId="48121829">
      <w:pPr>
        <w:pStyle w:val="23"/>
      </w:pPr>
      <w:r>
        <w:rPr>
          <w:b/>
          <w:bCs/>
        </w:rPr>
        <w:t>密文与密钥字节。</w:t>
      </w:r>
      <w:r>
        <w:t xml:space="preserve"> CKKS 密文大小只由参数和所在 level 决定，与数据集、种子无关；三个数据集 × 5 个种子的字节数逐字节相同（标准差为 0）。表 7-10 给出实测的密文阶梯与密钥大小。</w:t>
      </w:r>
    </w:p>
    <w:p w14:paraId="641882DF">
      <w:pPr>
        <w:pStyle w:val="44"/>
      </w:pPr>
      <w:r>
        <w:t>表 7-10：SEAL 4.1.2 序列化字节（baseline 线格式）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221"/>
        <w:gridCol w:w="1295"/>
        <w:gridCol w:w="2498"/>
        <w:gridCol w:w="3056"/>
      </w:tblGrid>
      <w:tr w14:paraId="282E27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221" w:type="dxa"/>
            <w:vAlign w:val="center"/>
          </w:tcPr>
          <w:p w14:paraId="24B5D817">
            <w:pPr>
              <w:pStyle w:val="84"/>
              <w:jc w:val="left"/>
            </w:pPr>
            <w:r>
              <w:t>对象</w:t>
            </w:r>
          </w:p>
        </w:tc>
        <w:tc>
          <w:tcPr>
            <w:tcW w:w="1295" w:type="dxa"/>
            <w:vAlign w:val="center"/>
          </w:tcPr>
          <w:p w14:paraId="451F2B5F">
            <w:pPr>
              <w:pStyle w:val="84"/>
              <w:jc w:val="center"/>
            </w:pPr>
            <w:r>
              <w:t>剩余模数位</w:t>
            </w:r>
          </w:p>
        </w:tc>
        <w:tc>
          <w:tcPr>
            <w:tcW w:w="2498" w:type="dxa"/>
            <w:vAlign w:val="center"/>
          </w:tcPr>
          <w:p w14:paraId="72060EED">
            <w:pPr>
              <w:pStyle w:val="84"/>
              <w:jc w:val="center"/>
            </w:pPr>
            <w:r>
              <w:t>字节</w:t>
            </w:r>
          </w:p>
        </w:tc>
        <w:tc>
          <w:tcPr>
            <w:tcW w:w="3056" w:type="dxa"/>
            <w:vAlign w:val="center"/>
          </w:tcPr>
          <w:p w14:paraId="3E520870">
            <w:pPr>
              <w:pStyle w:val="84"/>
              <w:jc w:val="left"/>
            </w:pPr>
            <w:r>
              <w:t>协议中的用途</w:t>
            </w:r>
          </w:p>
        </w:tc>
      </w:tr>
      <w:tr w14:paraId="630450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1EF6312E">
            <w:pPr>
              <w:pStyle w:val="84"/>
              <w:jc w:val="left"/>
            </w:pPr>
            <w:r>
              <w:t>密文 L7（fresh）</w:t>
            </w:r>
          </w:p>
        </w:tc>
        <w:tc>
          <w:tcPr>
            <w:tcW w:w="1295" w:type="dxa"/>
            <w:vAlign w:val="center"/>
          </w:tcPr>
          <w:p w14:paraId="383EAAC9">
            <w:pPr>
              <w:pStyle w:val="84"/>
              <w:jc w:val="center"/>
            </w:pPr>
            <w:r>
              <w:t>166</w:t>
            </w:r>
          </w:p>
        </w:tc>
        <w:tc>
          <w:tcPr>
            <w:tcW w:w="2498" w:type="dxa"/>
            <w:vAlign w:val="center"/>
          </w:tcPr>
          <w:p w14:paraId="159B0AC2">
            <w:pPr>
              <w:pStyle w:val="84"/>
              <w:jc w:val="center"/>
            </w:pPr>
            <w:r>
              <w:t>917,625</w:t>
            </w:r>
          </w:p>
        </w:tc>
        <w:tc>
          <w:tcPr>
            <w:tcW w:w="3056" w:type="dxa"/>
            <w:vAlign w:val="center"/>
          </w:tcPr>
          <w:p w14:paraId="361185D6">
            <w:pPr>
              <w:pStyle w:val="84"/>
              <w:jc w:val="left"/>
            </w:pPr>
            <w:r>
              <w:t>M1 上行、②</w:t>
            </w:r>
            <w:r>
              <w:rPr>
                <w:vertAlign w:val="subscript"/>
              </w:rPr>
              <w:t>k</w:t>
            </w:r>
            <w:r>
              <w:t xml:space="preserve"> 再加密上行</w:t>
            </w:r>
          </w:p>
        </w:tc>
      </w:tr>
      <w:tr w14:paraId="33B6AD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67F618B3">
            <w:pPr>
              <w:pStyle w:val="84"/>
              <w:jc w:val="left"/>
            </w:pPr>
            <w:r>
              <w:t>密文 L6</w:t>
            </w:r>
          </w:p>
        </w:tc>
        <w:tc>
          <w:tcPr>
            <w:tcW w:w="1295" w:type="dxa"/>
            <w:vAlign w:val="center"/>
          </w:tcPr>
          <w:p w14:paraId="10361DC5">
            <w:pPr>
              <w:pStyle w:val="84"/>
              <w:jc w:val="center"/>
            </w:pPr>
            <w:r>
              <w:t>145</w:t>
            </w:r>
          </w:p>
        </w:tc>
        <w:tc>
          <w:tcPr>
            <w:tcW w:w="2498" w:type="dxa"/>
            <w:vAlign w:val="center"/>
          </w:tcPr>
          <w:p w14:paraId="362BC2FA">
            <w:pPr>
              <w:pStyle w:val="84"/>
              <w:jc w:val="center"/>
            </w:pPr>
            <w:r>
              <w:t>786,553</w:t>
            </w:r>
          </w:p>
        </w:tc>
        <w:tc>
          <w:tcPr>
            <w:tcW w:w="3056" w:type="dxa"/>
            <w:vAlign w:val="center"/>
          </w:tcPr>
          <w:p w14:paraId="60261E5C">
            <w:pPr>
              <w:pStyle w:val="84"/>
              <w:jc w:val="left"/>
            </w:pPr>
            <w:r>
              <w:t>①</w:t>
            </w:r>
            <w:r>
              <w:rPr>
                <w:vertAlign w:val="subscript"/>
              </w:rPr>
              <w:t>k</w:t>
            </w:r>
            <w:r>
              <w:t xml:space="preserve"> 掩码下行（第 2 层）</w:t>
            </w:r>
          </w:p>
        </w:tc>
      </w:tr>
      <w:tr w14:paraId="4577F8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10D659BA">
            <w:pPr>
              <w:pStyle w:val="84"/>
              <w:jc w:val="left"/>
            </w:pPr>
            <w:r>
              <w:t>密文 L5</w:t>
            </w:r>
          </w:p>
        </w:tc>
        <w:tc>
          <w:tcPr>
            <w:tcW w:w="1295" w:type="dxa"/>
            <w:vAlign w:val="center"/>
          </w:tcPr>
          <w:p w14:paraId="7264E28E">
            <w:pPr>
              <w:pStyle w:val="84"/>
              <w:jc w:val="center"/>
            </w:pPr>
            <w:r>
              <w:t>124</w:t>
            </w:r>
          </w:p>
        </w:tc>
        <w:tc>
          <w:tcPr>
            <w:tcW w:w="2498" w:type="dxa"/>
            <w:vAlign w:val="center"/>
          </w:tcPr>
          <w:p w14:paraId="71348C71">
            <w:pPr>
              <w:pStyle w:val="84"/>
              <w:jc w:val="center"/>
            </w:pPr>
            <w:r>
              <w:t>655,481</w:t>
            </w:r>
          </w:p>
        </w:tc>
        <w:tc>
          <w:tcPr>
            <w:tcW w:w="3056" w:type="dxa"/>
            <w:vAlign w:val="center"/>
          </w:tcPr>
          <w:p w14:paraId="07F35B21">
            <w:pPr>
              <w:pStyle w:val="84"/>
              <w:jc w:val="left"/>
            </w:pPr>
            <w:r>
              <w:t>—</w:t>
            </w:r>
          </w:p>
        </w:tc>
      </w:tr>
      <w:tr w14:paraId="5695E9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3F056A7B">
            <w:pPr>
              <w:pStyle w:val="84"/>
              <w:jc w:val="left"/>
            </w:pPr>
            <w:r>
              <w:t>密文 L4</w:t>
            </w:r>
          </w:p>
        </w:tc>
        <w:tc>
          <w:tcPr>
            <w:tcW w:w="1295" w:type="dxa"/>
            <w:vAlign w:val="center"/>
          </w:tcPr>
          <w:p w14:paraId="0FF660A1">
            <w:pPr>
              <w:pStyle w:val="84"/>
              <w:jc w:val="center"/>
            </w:pPr>
            <w:r>
              <w:t>103</w:t>
            </w:r>
          </w:p>
        </w:tc>
        <w:tc>
          <w:tcPr>
            <w:tcW w:w="2498" w:type="dxa"/>
            <w:vAlign w:val="center"/>
          </w:tcPr>
          <w:p w14:paraId="7CEEFABD">
            <w:pPr>
              <w:pStyle w:val="84"/>
              <w:jc w:val="center"/>
            </w:pPr>
            <w:r>
              <w:t>524,409</w:t>
            </w:r>
          </w:p>
        </w:tc>
        <w:tc>
          <w:tcPr>
            <w:tcW w:w="3056" w:type="dxa"/>
            <w:vAlign w:val="center"/>
          </w:tcPr>
          <w:p w14:paraId="34ED42EE">
            <w:pPr>
              <w:pStyle w:val="84"/>
              <w:jc w:val="left"/>
            </w:pPr>
            <w:r>
              <w:t>①</w:t>
            </w:r>
            <w:r>
              <w:rPr>
                <w:vertAlign w:val="subscript"/>
              </w:rPr>
              <w:t>k</w:t>
            </w:r>
            <w:r>
              <w:t xml:space="preserve"> 掩码下行（第 1 层）</w:t>
            </w:r>
          </w:p>
        </w:tc>
      </w:tr>
      <w:tr w14:paraId="148812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4A3B7606">
            <w:pPr>
              <w:pStyle w:val="84"/>
              <w:jc w:val="left"/>
            </w:pPr>
            <w:r>
              <w:t>密文 L3</w:t>
            </w:r>
          </w:p>
        </w:tc>
        <w:tc>
          <w:tcPr>
            <w:tcW w:w="1295" w:type="dxa"/>
            <w:vAlign w:val="center"/>
          </w:tcPr>
          <w:p w14:paraId="07B68B60">
            <w:pPr>
              <w:pStyle w:val="84"/>
              <w:jc w:val="center"/>
            </w:pPr>
            <w:r>
              <w:t>82</w:t>
            </w:r>
          </w:p>
        </w:tc>
        <w:tc>
          <w:tcPr>
            <w:tcW w:w="2498" w:type="dxa"/>
            <w:vAlign w:val="center"/>
          </w:tcPr>
          <w:p w14:paraId="56A066A6">
            <w:pPr>
              <w:pStyle w:val="84"/>
              <w:jc w:val="center"/>
            </w:pPr>
            <w:r>
              <w:t>393,337</w:t>
            </w:r>
          </w:p>
        </w:tc>
        <w:tc>
          <w:tcPr>
            <w:tcW w:w="3056" w:type="dxa"/>
            <w:vAlign w:val="center"/>
          </w:tcPr>
          <w:p w14:paraId="78B808D1">
            <w:pPr>
              <w:pStyle w:val="84"/>
              <w:jc w:val="left"/>
            </w:pPr>
            <w:r>
              <w:t>—</w:t>
            </w:r>
          </w:p>
        </w:tc>
      </w:tr>
      <w:tr w14:paraId="004F7D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05F97F2D">
            <w:pPr>
              <w:pStyle w:val="84"/>
              <w:jc w:val="left"/>
            </w:pPr>
            <w:r>
              <w:t>密文 L2</w:t>
            </w:r>
          </w:p>
        </w:tc>
        <w:tc>
          <w:tcPr>
            <w:tcW w:w="1295" w:type="dxa"/>
            <w:vAlign w:val="center"/>
          </w:tcPr>
          <w:p w14:paraId="3F37D49C">
            <w:pPr>
              <w:pStyle w:val="84"/>
              <w:jc w:val="center"/>
            </w:pPr>
            <w:r>
              <w:t>61</w:t>
            </w:r>
          </w:p>
        </w:tc>
        <w:tc>
          <w:tcPr>
            <w:tcW w:w="2498" w:type="dxa"/>
            <w:vAlign w:val="center"/>
          </w:tcPr>
          <w:p w14:paraId="6926372B">
            <w:pPr>
              <w:pStyle w:val="84"/>
              <w:jc w:val="center"/>
            </w:pPr>
            <w:r>
              <w:t>262,265</w:t>
            </w:r>
          </w:p>
        </w:tc>
        <w:tc>
          <w:tcPr>
            <w:tcW w:w="3056" w:type="dxa"/>
            <w:vAlign w:val="center"/>
          </w:tcPr>
          <w:p w14:paraId="7444705F">
            <w:pPr>
              <w:pStyle w:val="84"/>
              <w:jc w:val="left"/>
            </w:pPr>
            <w:r>
              <w:t>M3 结果下行（</w:t>
            </w:r>
            <w:r>
              <w:rPr>
                <w:i/>
                <w:iCs/>
              </w:rPr>
              <w:t>s</w:t>
            </w:r>
            <w:r>
              <w:t xml:space="preserve"> = 00）</w:t>
            </w:r>
          </w:p>
        </w:tc>
      </w:tr>
      <w:tr w14:paraId="7C3641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4DAAA704">
            <w:pPr>
              <w:pStyle w:val="84"/>
              <w:jc w:val="left"/>
            </w:pPr>
            <w:r>
              <w:t>公钥 pk</w:t>
            </w:r>
          </w:p>
        </w:tc>
        <w:tc>
          <w:tcPr>
            <w:tcW w:w="1295" w:type="dxa"/>
            <w:vAlign w:val="center"/>
          </w:tcPr>
          <w:p w14:paraId="122A5E40">
            <w:pPr>
              <w:pStyle w:val="84"/>
              <w:jc w:val="center"/>
            </w:pPr>
            <w:r>
              <w:t>—</w:t>
            </w:r>
          </w:p>
        </w:tc>
        <w:tc>
          <w:tcPr>
            <w:tcW w:w="2498" w:type="dxa"/>
            <w:vAlign w:val="center"/>
          </w:tcPr>
          <w:p w14:paraId="1DF66707">
            <w:pPr>
              <w:pStyle w:val="84"/>
              <w:jc w:val="center"/>
            </w:pPr>
            <w:r>
              <w:t>1,048,689</w:t>
            </w:r>
          </w:p>
        </w:tc>
        <w:tc>
          <w:tcPr>
            <w:tcW w:w="3056" w:type="dxa"/>
            <w:vAlign w:val="center"/>
          </w:tcPr>
          <w:p w14:paraId="5CFC5C29">
            <w:pPr>
              <w:pStyle w:val="84"/>
              <w:jc w:val="left"/>
            </w:pPr>
            <w:r>
              <w:t>Setup（M0）</w:t>
            </w:r>
          </w:p>
        </w:tc>
      </w:tr>
      <w:tr w14:paraId="43782B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6091D7DE">
            <w:pPr>
              <w:pStyle w:val="84"/>
              <w:jc w:val="left"/>
            </w:pPr>
            <w:r>
              <w:t>重线性化密钥</w:t>
            </w:r>
          </w:p>
        </w:tc>
        <w:tc>
          <w:tcPr>
            <w:tcW w:w="1295" w:type="dxa"/>
            <w:vAlign w:val="center"/>
          </w:tcPr>
          <w:p w14:paraId="5C6E7BDE">
            <w:pPr>
              <w:pStyle w:val="84"/>
              <w:jc w:val="center"/>
            </w:pPr>
            <w:r>
              <w:t>—</w:t>
            </w:r>
          </w:p>
        </w:tc>
        <w:tc>
          <w:tcPr>
            <w:tcW w:w="2498" w:type="dxa"/>
            <w:vAlign w:val="center"/>
          </w:tcPr>
          <w:p w14:paraId="3FD71906">
            <w:pPr>
              <w:pStyle w:val="84"/>
              <w:jc w:val="center"/>
            </w:pPr>
            <w:r>
              <w:t>7,340,887</w:t>
            </w:r>
          </w:p>
        </w:tc>
        <w:tc>
          <w:tcPr>
            <w:tcW w:w="3056" w:type="dxa"/>
            <w:vAlign w:val="center"/>
          </w:tcPr>
          <w:p w14:paraId="0179BF33">
            <w:pPr>
              <w:pStyle w:val="84"/>
              <w:jc w:val="left"/>
            </w:pPr>
            <w:r>
              <w:t>Setup（M0）</w:t>
            </w:r>
          </w:p>
        </w:tc>
      </w:tr>
      <w:tr w14:paraId="706E61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79892506">
            <w:pPr>
              <w:pStyle w:val="84"/>
              <w:jc w:val="left"/>
            </w:pPr>
            <w:r>
              <w:t>Galois 密钥（24 个）</w:t>
            </w:r>
          </w:p>
        </w:tc>
        <w:tc>
          <w:tcPr>
            <w:tcW w:w="1295" w:type="dxa"/>
            <w:vAlign w:val="center"/>
          </w:tcPr>
          <w:p w14:paraId="3FC279D2">
            <w:pPr>
              <w:pStyle w:val="84"/>
              <w:jc w:val="center"/>
            </w:pPr>
            <w:r>
              <w:t>—</w:t>
            </w:r>
          </w:p>
        </w:tc>
        <w:tc>
          <w:tcPr>
            <w:tcW w:w="2498" w:type="dxa"/>
            <w:vAlign w:val="center"/>
          </w:tcPr>
          <w:p w14:paraId="3B9959F9">
            <w:pPr>
              <w:pStyle w:val="84"/>
              <w:jc w:val="center"/>
            </w:pPr>
            <w:r>
              <w:t>176,245,344</w:t>
            </w:r>
          </w:p>
        </w:tc>
        <w:tc>
          <w:tcPr>
            <w:tcW w:w="3056" w:type="dxa"/>
            <w:vAlign w:val="center"/>
          </w:tcPr>
          <w:p w14:paraId="7174E1CA">
            <w:pPr>
              <w:pStyle w:val="84"/>
              <w:jc w:val="left"/>
            </w:pPr>
            <w:r>
              <w:t xml:space="preserve">Setup（M0），占 </w:t>
            </w:r>
            <w:r>
              <w:rPr>
                <w:i/>
                <w:iCs/>
              </w:rPr>
              <w:t>S</w:t>
            </w:r>
            <w:r>
              <w:rPr>
                <w:vertAlign w:val="subscript"/>
              </w:rPr>
              <w:t>key</w:t>
            </w:r>
            <w:r>
              <w:t xml:space="preserve"> 的 95.4%</w:t>
            </w:r>
          </w:p>
        </w:tc>
      </w:tr>
      <w:tr w14:paraId="063177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779C02B2">
            <w:pPr>
              <w:pStyle w:val="84"/>
              <w:jc w:val="left"/>
            </w:pPr>
            <w:r>
              <w:rPr>
                <w:i/>
                <w:iCs/>
              </w:rPr>
              <w:t>S</w:t>
            </w:r>
            <w:r>
              <w:rPr>
                <w:vertAlign w:val="subscript"/>
              </w:rPr>
              <w:t>key</w:t>
            </w:r>
            <w:r>
              <w:t xml:space="preserve"> 合计</w:t>
            </w:r>
          </w:p>
        </w:tc>
        <w:tc>
          <w:tcPr>
            <w:tcW w:w="1295" w:type="dxa"/>
            <w:vAlign w:val="center"/>
          </w:tcPr>
          <w:p w14:paraId="3246FD49">
            <w:pPr>
              <w:pStyle w:val="84"/>
              <w:jc w:val="center"/>
            </w:pPr>
            <w:r>
              <w:t>—</w:t>
            </w:r>
          </w:p>
        </w:tc>
        <w:tc>
          <w:tcPr>
            <w:tcW w:w="2498" w:type="dxa"/>
            <w:vAlign w:val="center"/>
          </w:tcPr>
          <w:p w14:paraId="5DBC9EE1">
            <w:pPr>
              <w:pStyle w:val="84"/>
              <w:jc w:val="center"/>
            </w:pPr>
            <w:r>
              <w:t>184,634,920（184.6 MB）</w:t>
            </w:r>
          </w:p>
        </w:tc>
        <w:tc>
          <w:tcPr>
            <w:tcW w:w="3056" w:type="dxa"/>
            <w:vAlign w:val="center"/>
          </w:tcPr>
          <w:p w14:paraId="6560550A">
            <w:pPr>
              <w:pStyle w:val="84"/>
              <w:jc w:val="left"/>
            </w:pPr>
            <w:r>
              <w:t>一次性</w:t>
            </w:r>
          </w:p>
        </w:tc>
      </w:tr>
    </w:tbl>
    <w:p w14:paraId="39B47501">
      <w:pPr>
        <w:pStyle w:val="3"/>
      </w:pPr>
      <w:r>
        <w:rPr>
          <w:b/>
          <w:bCs/>
        </w:rPr>
        <w:t>每查询在线字节与线格式压缩。</w:t>
      </w:r>
      <w:r>
        <w:t xml:space="preserve"> 表 7-11 给出每种调度下单次查询的在线字节（上行 + 下行），以及不改变协议消息语义的几种线格式优化。</w:t>
      </w:r>
    </w:p>
    <w:p w14:paraId="461AEF3F">
      <w:pPr>
        <w:pStyle w:val="44"/>
      </w:pPr>
      <w:r>
        <w:t>表 7-11：每查询在线字节与一次性密钥字节（1 MB = 10⁶ B）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388"/>
        <w:gridCol w:w="1096"/>
        <w:gridCol w:w="1096"/>
        <w:gridCol w:w="1096"/>
        <w:gridCol w:w="1096"/>
        <w:gridCol w:w="1298"/>
      </w:tblGrid>
      <w:tr w14:paraId="5A4F0F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388" w:type="dxa"/>
            <w:vAlign w:val="center"/>
          </w:tcPr>
          <w:p w14:paraId="4A0AF6F9">
            <w:pPr>
              <w:pStyle w:val="84"/>
              <w:jc w:val="left"/>
            </w:pPr>
            <w:r>
              <w:t>线格式</w:t>
            </w:r>
          </w:p>
        </w:tc>
        <w:tc>
          <w:tcPr>
            <w:tcW w:w="1096" w:type="dxa"/>
            <w:vAlign w:val="center"/>
          </w:tcPr>
          <w:p w14:paraId="78CFA032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00</w:t>
            </w:r>
          </w:p>
        </w:tc>
        <w:tc>
          <w:tcPr>
            <w:tcW w:w="1096" w:type="dxa"/>
            <w:vAlign w:val="center"/>
          </w:tcPr>
          <w:p w14:paraId="6C77DC02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01</w:t>
            </w:r>
          </w:p>
        </w:tc>
        <w:tc>
          <w:tcPr>
            <w:tcW w:w="1096" w:type="dxa"/>
            <w:vAlign w:val="center"/>
          </w:tcPr>
          <w:p w14:paraId="2477147A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10</w:t>
            </w:r>
          </w:p>
        </w:tc>
        <w:tc>
          <w:tcPr>
            <w:tcW w:w="1096" w:type="dxa"/>
            <w:vAlign w:val="center"/>
          </w:tcPr>
          <w:p w14:paraId="717EAC60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11</w:t>
            </w:r>
          </w:p>
        </w:tc>
        <w:tc>
          <w:tcPr>
            <w:tcW w:w="1298" w:type="dxa"/>
            <w:vAlign w:val="center"/>
          </w:tcPr>
          <w:p w14:paraId="11509716">
            <w:pPr>
              <w:pStyle w:val="84"/>
              <w:jc w:val="center"/>
            </w:pPr>
            <w:r>
              <w:t>一次性 M0</w:t>
            </w:r>
          </w:p>
        </w:tc>
      </w:tr>
      <w:tr w14:paraId="197CDF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332733B9">
            <w:pPr>
              <w:pStyle w:val="84"/>
              <w:jc w:val="left"/>
            </w:pPr>
            <w:r>
              <w:t>baseline</w:t>
            </w:r>
          </w:p>
        </w:tc>
        <w:tc>
          <w:tcPr>
            <w:tcW w:w="1096" w:type="dxa"/>
            <w:vAlign w:val="center"/>
          </w:tcPr>
          <w:p w14:paraId="0C4F0F91">
            <w:pPr>
              <w:pStyle w:val="84"/>
              <w:jc w:val="center"/>
            </w:pPr>
            <w:r>
              <w:t>1.18 MB</w:t>
            </w:r>
          </w:p>
        </w:tc>
        <w:tc>
          <w:tcPr>
            <w:tcW w:w="1096" w:type="dxa"/>
            <w:vAlign w:val="center"/>
          </w:tcPr>
          <w:p w14:paraId="75182B2C">
            <w:pPr>
              <w:pStyle w:val="84"/>
              <w:jc w:val="center"/>
            </w:pPr>
            <w:r>
              <w:t>3.15 MB</w:t>
            </w:r>
          </w:p>
        </w:tc>
        <w:tc>
          <w:tcPr>
            <w:tcW w:w="1096" w:type="dxa"/>
            <w:vAlign w:val="center"/>
          </w:tcPr>
          <w:p w14:paraId="5A676ABB">
            <w:pPr>
              <w:pStyle w:val="84"/>
              <w:jc w:val="center"/>
            </w:pPr>
            <w:r>
              <w:t>3.15 MB</w:t>
            </w:r>
          </w:p>
        </w:tc>
        <w:tc>
          <w:tcPr>
            <w:tcW w:w="1096" w:type="dxa"/>
            <w:vAlign w:val="center"/>
          </w:tcPr>
          <w:p w14:paraId="55CB92DD">
            <w:pPr>
              <w:pStyle w:val="84"/>
              <w:jc w:val="center"/>
            </w:pPr>
            <w:r>
              <w:t>5.11 MB</w:t>
            </w:r>
          </w:p>
        </w:tc>
        <w:tc>
          <w:tcPr>
            <w:tcW w:w="1298" w:type="dxa"/>
            <w:vAlign w:val="center"/>
          </w:tcPr>
          <w:p w14:paraId="338B2515">
            <w:pPr>
              <w:pStyle w:val="84"/>
              <w:jc w:val="center"/>
            </w:pPr>
            <w:r>
              <w:t>184.6 MB</w:t>
            </w:r>
          </w:p>
        </w:tc>
      </w:tr>
      <w:tr w14:paraId="368721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44B1535E">
            <w:pPr>
              <w:pStyle w:val="84"/>
              <w:jc w:val="left"/>
            </w:pPr>
            <w:r>
              <w:t>seeded（客户端密文与密钥用种子形式）</w:t>
            </w:r>
          </w:p>
        </w:tc>
        <w:tc>
          <w:tcPr>
            <w:tcW w:w="1096" w:type="dxa"/>
            <w:vAlign w:val="center"/>
          </w:tcPr>
          <w:p w14:paraId="26C47AFB">
            <w:pPr>
              <w:pStyle w:val="84"/>
              <w:jc w:val="center"/>
            </w:pPr>
            <w:r>
              <w:t>0.72 MB</w:t>
            </w:r>
          </w:p>
        </w:tc>
        <w:tc>
          <w:tcPr>
            <w:tcW w:w="1096" w:type="dxa"/>
            <w:vAlign w:val="center"/>
          </w:tcPr>
          <w:p w14:paraId="3DEA257E">
            <w:pPr>
              <w:pStyle w:val="84"/>
              <w:jc w:val="center"/>
            </w:pPr>
            <w:r>
              <w:t>2.23 MB</w:t>
            </w:r>
          </w:p>
        </w:tc>
        <w:tc>
          <w:tcPr>
            <w:tcW w:w="1096" w:type="dxa"/>
            <w:vAlign w:val="center"/>
          </w:tcPr>
          <w:p w14:paraId="66AFF96B">
            <w:pPr>
              <w:pStyle w:val="84"/>
              <w:jc w:val="center"/>
            </w:pPr>
            <w:r>
              <w:t>2.23 MB</w:t>
            </w:r>
          </w:p>
        </w:tc>
        <w:tc>
          <w:tcPr>
            <w:tcW w:w="1096" w:type="dxa"/>
            <w:vAlign w:val="center"/>
          </w:tcPr>
          <w:p w14:paraId="3022E399">
            <w:pPr>
              <w:pStyle w:val="84"/>
              <w:jc w:val="center"/>
            </w:pPr>
            <w:r>
              <w:t>3.74 MB</w:t>
            </w:r>
          </w:p>
        </w:tc>
        <w:tc>
          <w:tcPr>
            <w:tcW w:w="1298" w:type="dxa"/>
            <w:vAlign w:val="center"/>
          </w:tcPr>
          <w:p w14:paraId="63B3C901">
            <w:pPr>
              <w:pStyle w:val="84"/>
              <w:jc w:val="center"/>
            </w:pPr>
            <w:r>
              <w:t>92.4 MB</w:t>
            </w:r>
          </w:p>
        </w:tc>
      </w:tr>
      <w:tr w14:paraId="26E317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44F64248">
            <w:pPr>
              <w:pStyle w:val="84"/>
              <w:jc w:val="left"/>
            </w:pPr>
            <w:r>
              <w:t>zstd（SEAL 序列化压缩）</w:t>
            </w:r>
          </w:p>
        </w:tc>
        <w:tc>
          <w:tcPr>
            <w:tcW w:w="1096" w:type="dxa"/>
            <w:vAlign w:val="center"/>
          </w:tcPr>
          <w:p w14:paraId="233FB3B2">
            <w:pPr>
              <w:pStyle w:val="84"/>
              <w:jc w:val="center"/>
            </w:pPr>
            <w:r>
              <w:t>0.60 MB</w:t>
            </w:r>
          </w:p>
        </w:tc>
        <w:tc>
          <w:tcPr>
            <w:tcW w:w="1096" w:type="dxa"/>
            <w:vAlign w:val="center"/>
          </w:tcPr>
          <w:p w14:paraId="741D1567">
            <w:pPr>
              <w:pStyle w:val="84"/>
              <w:jc w:val="center"/>
            </w:pPr>
            <w:r>
              <w:t>1.53 MB</w:t>
            </w:r>
          </w:p>
        </w:tc>
        <w:tc>
          <w:tcPr>
            <w:tcW w:w="1096" w:type="dxa"/>
            <w:vAlign w:val="center"/>
          </w:tcPr>
          <w:p w14:paraId="47EFED6F">
            <w:pPr>
              <w:pStyle w:val="84"/>
              <w:jc w:val="center"/>
            </w:pPr>
            <w:r>
              <w:t>1.53 MB</w:t>
            </w:r>
          </w:p>
        </w:tc>
        <w:tc>
          <w:tcPr>
            <w:tcW w:w="1096" w:type="dxa"/>
            <w:vAlign w:val="center"/>
          </w:tcPr>
          <w:p w14:paraId="7B1894C1">
            <w:pPr>
              <w:pStyle w:val="84"/>
              <w:jc w:val="center"/>
            </w:pPr>
            <w:r>
              <w:t>2.46 MB</w:t>
            </w:r>
          </w:p>
        </w:tc>
        <w:tc>
          <w:tcPr>
            <w:tcW w:w="1298" w:type="dxa"/>
            <w:vAlign w:val="center"/>
          </w:tcPr>
          <w:p w14:paraId="70379CB5">
            <w:pPr>
              <w:pStyle w:val="84"/>
              <w:jc w:val="center"/>
            </w:pPr>
            <w:r>
              <w:t>95.5 MB</w:t>
            </w:r>
          </w:p>
        </w:tc>
      </w:tr>
      <w:tr w14:paraId="598E1E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4EE9F505">
            <w:pPr>
              <w:pStyle w:val="84"/>
              <w:jc w:val="left"/>
            </w:pPr>
            <w:r>
              <w:t>modswitch（下发前丢弃多余素数）</w:t>
            </w:r>
          </w:p>
        </w:tc>
        <w:tc>
          <w:tcPr>
            <w:tcW w:w="1096" w:type="dxa"/>
            <w:vAlign w:val="center"/>
          </w:tcPr>
          <w:p w14:paraId="05DC9745">
            <w:pPr>
              <w:pStyle w:val="84"/>
              <w:jc w:val="center"/>
            </w:pPr>
            <w:r>
              <w:t>1.05 MB</w:t>
            </w:r>
          </w:p>
        </w:tc>
        <w:tc>
          <w:tcPr>
            <w:tcW w:w="1096" w:type="dxa"/>
            <w:vAlign w:val="center"/>
          </w:tcPr>
          <w:p w14:paraId="70BD8CE7">
            <w:pPr>
              <w:pStyle w:val="84"/>
              <w:jc w:val="center"/>
            </w:pPr>
            <w:r>
              <w:t>2.36 MB</w:t>
            </w:r>
          </w:p>
        </w:tc>
        <w:tc>
          <w:tcPr>
            <w:tcW w:w="1096" w:type="dxa"/>
            <w:vAlign w:val="center"/>
          </w:tcPr>
          <w:p w14:paraId="59AE18BE">
            <w:pPr>
              <w:pStyle w:val="84"/>
              <w:jc w:val="center"/>
            </w:pPr>
            <w:r>
              <w:t>2.36 MB</w:t>
            </w:r>
          </w:p>
        </w:tc>
        <w:tc>
          <w:tcPr>
            <w:tcW w:w="1096" w:type="dxa"/>
            <w:vAlign w:val="center"/>
          </w:tcPr>
          <w:p w14:paraId="045C77AE">
            <w:pPr>
              <w:pStyle w:val="84"/>
              <w:jc w:val="center"/>
            </w:pPr>
            <w:r>
              <w:t>3.67 MB</w:t>
            </w:r>
          </w:p>
        </w:tc>
        <w:tc>
          <w:tcPr>
            <w:tcW w:w="1298" w:type="dxa"/>
            <w:vAlign w:val="center"/>
          </w:tcPr>
          <w:p w14:paraId="62E586D6">
            <w:pPr>
              <w:pStyle w:val="84"/>
              <w:jc w:val="center"/>
            </w:pPr>
            <w:r>
              <w:t>184.6 MB</w:t>
            </w:r>
          </w:p>
        </w:tc>
      </w:tr>
      <w:tr w14:paraId="45F774E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57116E44">
            <w:pPr>
              <w:pStyle w:val="84"/>
              <w:jc w:val="left"/>
            </w:pPr>
            <w:r>
              <w:t>shortchain（客户端按所需最低 level 加密）</w:t>
            </w:r>
          </w:p>
        </w:tc>
        <w:tc>
          <w:tcPr>
            <w:tcW w:w="1096" w:type="dxa"/>
            <w:vAlign w:val="center"/>
          </w:tcPr>
          <w:p w14:paraId="6C77C950">
            <w:pPr>
              <w:pStyle w:val="84"/>
              <w:jc w:val="center"/>
            </w:pPr>
            <w:r>
              <w:t>1.18 MB</w:t>
            </w:r>
          </w:p>
        </w:tc>
        <w:tc>
          <w:tcPr>
            <w:tcW w:w="1096" w:type="dxa"/>
            <w:vAlign w:val="center"/>
          </w:tcPr>
          <w:p w14:paraId="287D7817">
            <w:pPr>
              <w:pStyle w:val="84"/>
              <w:jc w:val="center"/>
            </w:pPr>
            <w:r>
              <w:t>1.57 MB</w:t>
            </w:r>
          </w:p>
        </w:tc>
        <w:tc>
          <w:tcPr>
            <w:tcW w:w="1096" w:type="dxa"/>
            <w:vAlign w:val="center"/>
          </w:tcPr>
          <w:p w14:paraId="560A3D65">
            <w:pPr>
              <w:pStyle w:val="84"/>
              <w:jc w:val="center"/>
            </w:pPr>
            <w:r>
              <w:t>1.57 MB</w:t>
            </w:r>
          </w:p>
        </w:tc>
        <w:tc>
          <w:tcPr>
            <w:tcW w:w="1096" w:type="dxa"/>
            <w:vAlign w:val="center"/>
          </w:tcPr>
          <w:p w14:paraId="72CC1443">
            <w:pPr>
              <w:pStyle w:val="84"/>
              <w:jc w:val="center"/>
            </w:pPr>
            <w:r>
              <w:t>2.23 MB</w:t>
            </w:r>
          </w:p>
        </w:tc>
        <w:tc>
          <w:tcPr>
            <w:tcW w:w="1298" w:type="dxa"/>
            <w:vAlign w:val="center"/>
          </w:tcPr>
          <w:p w14:paraId="3D6505CF">
            <w:pPr>
              <w:pStyle w:val="84"/>
              <w:jc w:val="center"/>
            </w:pPr>
            <w:r>
              <w:t>184.6 MB</w:t>
            </w:r>
          </w:p>
        </w:tc>
      </w:tr>
      <w:tr w14:paraId="7334CA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3EF4CB6F">
            <w:pPr>
              <w:pStyle w:val="84"/>
              <w:jc w:val="left"/>
            </w:pPr>
            <w:r>
              <w:rPr>
                <w:b/>
                <w:bCs/>
              </w:rPr>
              <w:t>compact</w:t>
            </w:r>
            <w:r>
              <w:t>（以上全部）</w:t>
            </w:r>
          </w:p>
        </w:tc>
        <w:tc>
          <w:tcPr>
            <w:tcW w:w="1096" w:type="dxa"/>
            <w:vAlign w:val="center"/>
          </w:tcPr>
          <w:p w14:paraId="5FD04506">
            <w:pPr>
              <w:pStyle w:val="84"/>
              <w:jc w:val="center"/>
            </w:pPr>
            <w:r>
              <w:rPr>
                <w:b/>
                <w:bCs/>
              </w:rPr>
              <w:t>0.31 MB</w:t>
            </w:r>
          </w:p>
        </w:tc>
        <w:tc>
          <w:tcPr>
            <w:tcW w:w="1096" w:type="dxa"/>
            <w:vAlign w:val="center"/>
          </w:tcPr>
          <w:p w14:paraId="50EA4D00">
            <w:pPr>
              <w:pStyle w:val="84"/>
              <w:jc w:val="center"/>
            </w:pPr>
            <w:r>
              <w:rPr>
                <w:b/>
                <w:bCs/>
              </w:rPr>
              <w:t>0.58 MB</w:t>
            </w:r>
          </w:p>
        </w:tc>
        <w:tc>
          <w:tcPr>
            <w:tcW w:w="1096" w:type="dxa"/>
            <w:vAlign w:val="center"/>
          </w:tcPr>
          <w:p w14:paraId="40CA5D0F">
            <w:pPr>
              <w:pStyle w:val="84"/>
              <w:jc w:val="center"/>
            </w:pPr>
            <w:r>
              <w:rPr>
                <w:b/>
                <w:bCs/>
              </w:rPr>
              <w:t>0.57 MB</w:t>
            </w:r>
          </w:p>
        </w:tc>
        <w:tc>
          <w:tcPr>
            <w:tcW w:w="1096" w:type="dxa"/>
            <w:vAlign w:val="center"/>
          </w:tcPr>
          <w:p w14:paraId="42DC6BA7">
            <w:pPr>
              <w:pStyle w:val="84"/>
              <w:jc w:val="center"/>
            </w:pPr>
            <w:r>
              <w:rPr>
                <w:b/>
                <w:bCs/>
              </w:rPr>
              <w:t>0.87 MB</w:t>
            </w:r>
          </w:p>
        </w:tc>
        <w:tc>
          <w:tcPr>
            <w:tcW w:w="1298" w:type="dxa"/>
            <w:vAlign w:val="center"/>
          </w:tcPr>
          <w:p w14:paraId="4FE01FE4">
            <w:pPr>
              <w:pStyle w:val="84"/>
              <w:jc w:val="center"/>
            </w:pPr>
            <w:r>
              <w:rPr>
                <w:b/>
                <w:bCs/>
              </w:rPr>
              <w:t>47.7 MB</w:t>
            </w:r>
          </w:p>
        </w:tc>
      </w:tr>
    </w:tbl>
    <w:p w14:paraId="4E035E73">
      <w:pPr>
        <w:pStyle w:val="83"/>
      </w:pPr>
      <w:r>
        <w:t>注：MNIST、seed 73 的实测线字节，三个数据集在 baseline 下逐字节相同、在 compact 下相差 &lt; 0.3%。只计 HE 密文与密钥，未含 SCI 的 OT 字节【待补】。</w:t>
      </w:r>
    </w:p>
    <w:p w14:paraId="6DC36509">
      <w:pPr>
        <w:pStyle w:val="3"/>
      </w:pPr>
      <w:r>
        <w:t xml:space="preserve">compact 线格式把 </w:t>
      </w:r>
      <w:r>
        <w:rPr>
          <w:i/>
          <w:iCs/>
        </w:rPr>
        <w:t>s</w:t>
      </w:r>
      <w:r>
        <w:t xml:space="preserve"> = 11 的每查询字节从 5.11 MB 降到 0.87 MB（约 5.9 倍），一次性密钥从 184.6 MB 降到 47.7 MB（约 3.9 倍）。按调度裁剪 Galois 密钥的收益有限：canonical 卷积的 im2col 窗口位移已需要 2</w:t>
      </w:r>
      <w:r>
        <w:rPr>
          <w:vertAlign w:val="superscript"/>
        </w:rPr>
        <w:t>11</w:t>
      </w:r>
      <w:r>
        <w:t xml:space="preserve"> 量级的旋转，裁剪后仍需 23 个 Galois 密钥（全集 24 个）。</w:t>
      </w:r>
    </w:p>
    <w:p w14:paraId="2D06A6FA">
      <w:pPr>
        <w:pStyle w:val="3"/>
      </w:pPr>
      <w:r>
        <w:rPr>
          <w:b/>
          <w:bCs/>
        </w:rPr>
        <w:t>交互轮数。</w:t>
      </w:r>
      <w:r>
        <w:t xml:space="preserve"> 表 7-12 汇总轮数的三种测量口径。</w:t>
      </w:r>
    </w:p>
    <w:p w14:paraId="00599BA0">
      <w:pPr>
        <w:pStyle w:val="44"/>
      </w:pPr>
      <w:r>
        <w:t xml:space="preserve">表 7-12：每个 Hybrid 层的在线往返数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>（三个数据集一致）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134"/>
        <w:gridCol w:w="2591"/>
        <w:gridCol w:w="2591"/>
        <w:gridCol w:w="914"/>
        <w:gridCol w:w="840"/>
      </w:tblGrid>
      <w:tr w14:paraId="7367E1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134" w:type="dxa"/>
            <w:vAlign w:val="center"/>
          </w:tcPr>
          <w:p w14:paraId="6BBD2527">
            <w:pPr>
              <w:pStyle w:val="84"/>
              <w:jc w:val="left"/>
            </w:pPr>
            <w:r>
              <w:t>口径</w:t>
            </w:r>
          </w:p>
        </w:tc>
        <w:tc>
          <w:tcPr>
            <w:tcW w:w="2591" w:type="dxa"/>
            <w:vAlign w:val="center"/>
          </w:tcPr>
          <w:p w14:paraId="128F0706">
            <w:pPr>
              <w:pStyle w:val="84"/>
              <w:jc w:val="left"/>
            </w:pPr>
            <w:r>
              <w:t>方法</w:t>
            </w:r>
          </w:p>
        </w:tc>
        <w:tc>
          <w:tcPr>
            <w:tcW w:w="2591" w:type="dxa"/>
            <w:vAlign w:val="center"/>
          </w:tcPr>
          <w:p w14:paraId="75C89B26">
            <w:pPr>
              <w:pStyle w:val="84"/>
              <w:jc w:val="center"/>
            </w:pPr>
            <w:r>
              <w:t>MNIST</w:t>
            </w:r>
          </w:p>
        </w:tc>
        <w:tc>
          <w:tcPr>
            <w:tcW w:w="914" w:type="dxa"/>
            <w:vAlign w:val="center"/>
          </w:tcPr>
          <w:p w14:paraId="79229FB7">
            <w:pPr>
              <w:pStyle w:val="84"/>
              <w:jc w:val="center"/>
            </w:pPr>
            <w:r>
              <w:t>CIFAR-10</w:t>
            </w:r>
          </w:p>
        </w:tc>
        <w:tc>
          <w:tcPr>
            <w:tcW w:w="840" w:type="dxa"/>
            <w:vAlign w:val="center"/>
          </w:tcPr>
          <w:p w14:paraId="6EC75BF5">
            <w:pPr>
              <w:pStyle w:val="84"/>
              <w:jc w:val="center"/>
            </w:pPr>
            <w:r>
              <w:t>UCI HAR</w:t>
            </w:r>
          </w:p>
        </w:tc>
      </w:tr>
      <w:tr w14:paraId="328627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134" w:type="dxa"/>
            <w:vAlign w:val="center"/>
          </w:tcPr>
          <w:p w14:paraId="71545521">
            <w:pPr>
              <w:pStyle w:val="84"/>
              <w:jc w:val="left"/>
            </w:pPr>
            <w:r>
              <w:t>协议主通道</w:t>
            </w:r>
          </w:p>
        </w:tc>
        <w:tc>
          <w:tcPr>
            <w:tcW w:w="2591" w:type="dxa"/>
            <w:vAlign w:val="center"/>
          </w:tcPr>
          <w:p w14:paraId="3522CD6D">
            <w:pPr>
              <w:pStyle w:val="84"/>
              <w:jc w:val="left"/>
            </w:pPr>
            <w:r>
              <w:t>消息计数：</w:t>
            </w:r>
            <w:r>
              <w:rPr>
                <w:i/>
                <w:iCs/>
              </w:rPr>
              <w:t>s</w:t>
            </w:r>
            <w:r>
              <w:t xml:space="preserve"> = 00 / 01 / 10 / 11 分别为 9 / 11 / 11 / 13 条消息</w:t>
            </w:r>
          </w:p>
        </w:tc>
        <w:tc>
          <w:tcPr>
            <w:tcW w:w="2591" w:type="dxa"/>
            <w:vAlign w:val="center"/>
          </w:tcPr>
          <w:p w14:paraId="3BF092E7">
            <w:pPr>
              <w:pStyle w:val="84"/>
              <w:jc w:val="center"/>
            </w:pPr>
            <w:r>
              <w:t>1.00</w:t>
            </w:r>
          </w:p>
        </w:tc>
        <w:tc>
          <w:tcPr>
            <w:tcW w:w="914" w:type="dxa"/>
            <w:vAlign w:val="center"/>
          </w:tcPr>
          <w:p w14:paraId="2EBBF6DA">
            <w:pPr>
              <w:pStyle w:val="84"/>
              <w:jc w:val="center"/>
            </w:pPr>
            <w:r>
              <w:t>1.00</w:t>
            </w:r>
          </w:p>
        </w:tc>
        <w:tc>
          <w:tcPr>
            <w:tcW w:w="840" w:type="dxa"/>
            <w:vAlign w:val="center"/>
          </w:tcPr>
          <w:p w14:paraId="6E3DEBAA">
            <w:pPr>
              <w:pStyle w:val="84"/>
              <w:jc w:val="center"/>
            </w:pPr>
            <w:r>
              <w:t>1.00</w:t>
            </w:r>
          </w:p>
        </w:tc>
      </w:tr>
      <w:tr w14:paraId="208562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134" w:type="dxa"/>
            <w:vAlign w:val="center"/>
          </w:tcPr>
          <w:p w14:paraId="03108705">
            <w:pPr>
              <w:pStyle w:val="84"/>
              <w:jc w:val="left"/>
            </w:pPr>
            <w:r>
              <w:t>SCI 内部</w:t>
            </w:r>
          </w:p>
        </w:tc>
        <w:tc>
          <w:tcPr>
            <w:tcW w:w="2591" w:type="dxa"/>
            <w:vAlign w:val="center"/>
          </w:tcPr>
          <w:p w14:paraId="2B7A5DD3">
            <w:pPr>
              <w:pStyle w:val="84"/>
              <w:jc w:val="left"/>
            </w:pPr>
            <w:r>
              <w:t>单独 netem 扫描（128 维，无 HE 层）</w:t>
            </w:r>
          </w:p>
        </w:tc>
        <w:tc>
          <w:tcPr>
            <w:tcW w:w="2591" w:type="dxa"/>
            <w:vAlign w:val="center"/>
          </w:tcPr>
          <w:p w14:paraId="4D271019">
            <w:pPr>
              <w:pStyle w:val="84"/>
              <w:jc w:val="center"/>
            </w:pPr>
            <w:r>
              <w:t>5.01 ± 0.003 轮 / ReLU（与层宽无关）</w:t>
            </w:r>
          </w:p>
        </w:tc>
        <w:tc>
          <w:tcPr>
            <w:tcW w:w="914" w:type="dxa"/>
            <w:vAlign w:val="center"/>
          </w:tcPr>
          <w:p w14:paraId="46E49031">
            <w:pPr>
              <w:pStyle w:val="84"/>
              <w:jc w:val="center"/>
            </w:pPr>
            <w:r>
              <w:t>同左</w:t>
            </w:r>
          </w:p>
        </w:tc>
        <w:tc>
          <w:tcPr>
            <w:tcW w:w="840" w:type="dxa"/>
            <w:vAlign w:val="center"/>
          </w:tcPr>
          <w:p w14:paraId="755C2773">
            <w:pPr>
              <w:pStyle w:val="84"/>
              <w:jc w:val="center"/>
            </w:pPr>
            <w:r>
              <w:t>同左</w:t>
            </w:r>
          </w:p>
        </w:tc>
      </w:tr>
      <w:tr w14:paraId="42F71E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134" w:type="dxa"/>
            <w:vAlign w:val="center"/>
          </w:tcPr>
          <w:p w14:paraId="25297F22">
            <w:pPr>
              <w:pStyle w:val="84"/>
              <w:jc w:val="left"/>
            </w:pPr>
            <w:r>
              <w:t>端到端</w:t>
            </w:r>
          </w:p>
        </w:tc>
        <w:tc>
          <w:tcPr>
            <w:tcW w:w="2591" w:type="dxa"/>
            <w:vAlign w:val="center"/>
          </w:tcPr>
          <w:p w14:paraId="72918D16">
            <w:pPr>
              <w:pStyle w:val="84"/>
              <w:jc w:val="left"/>
            </w:pPr>
            <w:r>
              <w:t>tc/netem RTT 扫描，4 种调度 × 5 个 RTT 点</w:t>
            </w:r>
          </w:p>
        </w:tc>
        <w:tc>
          <w:tcPr>
            <w:tcW w:w="2591" w:type="dxa"/>
            <w:vAlign w:val="center"/>
          </w:tcPr>
          <w:p w14:paraId="24CB8AFC">
            <w:pPr>
              <w:pStyle w:val="84"/>
              <w:jc w:val="center"/>
            </w:pPr>
            <w:r>
              <w:rPr>
                <w:b/>
                <w:bCs/>
              </w:rPr>
              <w:t>6.025</w:t>
            </w:r>
          </w:p>
        </w:tc>
        <w:tc>
          <w:tcPr>
            <w:tcW w:w="914" w:type="dxa"/>
            <w:vAlign w:val="center"/>
          </w:tcPr>
          <w:p w14:paraId="563305CC">
            <w:pPr>
              <w:pStyle w:val="84"/>
              <w:jc w:val="center"/>
            </w:pPr>
            <w:r>
              <w:rPr>
                <w:b/>
                <w:bCs/>
              </w:rPr>
              <w:t>6.022</w:t>
            </w:r>
          </w:p>
        </w:tc>
        <w:tc>
          <w:tcPr>
            <w:tcW w:w="840" w:type="dxa"/>
            <w:vAlign w:val="center"/>
          </w:tcPr>
          <w:p w14:paraId="1C9EFF13">
            <w:pPr>
              <w:pStyle w:val="84"/>
              <w:jc w:val="center"/>
            </w:pPr>
            <w:r>
              <w:rPr>
                <w:b/>
                <w:bCs/>
              </w:rPr>
              <w:t>6.018</w:t>
            </w:r>
          </w:p>
        </w:tc>
      </w:tr>
      <w:tr w14:paraId="6ACCDC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134" w:type="dxa"/>
            <w:vAlign w:val="center"/>
          </w:tcPr>
          <w:p w14:paraId="42FB1CDB">
            <w:pPr>
              <w:pStyle w:val="84"/>
              <w:jc w:val="left"/>
            </w:pPr>
            <w:r>
              <w:t>对照：Python OT 回退路径</w:t>
            </w:r>
          </w:p>
        </w:tc>
        <w:tc>
          <w:tcPr>
            <w:tcW w:w="2591" w:type="dxa"/>
            <w:vAlign w:val="center"/>
          </w:tcPr>
          <w:p w14:paraId="223E0201">
            <w:pPr>
              <w:pStyle w:val="84"/>
              <w:jc w:val="left"/>
            </w:pPr>
            <w:r>
              <w:t>消息计数</w:t>
            </w:r>
          </w:p>
        </w:tc>
        <w:tc>
          <w:tcPr>
            <w:tcW w:w="2591" w:type="dxa"/>
            <w:vAlign w:val="center"/>
          </w:tcPr>
          <w:p w14:paraId="67912A94">
            <w:pPr>
              <w:pStyle w:val="84"/>
              <w:jc w:val="center"/>
            </w:pPr>
            <w:r>
              <w:t>41（82 条消息）</w:t>
            </w:r>
          </w:p>
        </w:tc>
        <w:tc>
          <w:tcPr>
            <w:tcW w:w="914" w:type="dxa"/>
            <w:vAlign w:val="center"/>
          </w:tcPr>
          <w:p w14:paraId="2C01942D">
            <w:pPr>
              <w:pStyle w:val="84"/>
              <w:jc w:val="center"/>
            </w:pPr>
            <w:r>
              <w:t>41</w:t>
            </w:r>
          </w:p>
        </w:tc>
        <w:tc>
          <w:tcPr>
            <w:tcW w:w="840" w:type="dxa"/>
            <w:vAlign w:val="center"/>
          </w:tcPr>
          <w:p w14:paraId="46F4146D">
            <w:pPr>
              <w:pStyle w:val="84"/>
              <w:jc w:val="center"/>
            </w:pPr>
            <w:r>
              <w:t>41</w:t>
            </w:r>
          </w:p>
        </w:tc>
      </w:tr>
    </w:tbl>
    <w:p w14:paraId="618698BB">
      <w:pPr>
        <w:pStyle w:val="83"/>
      </w:pPr>
      <w:r>
        <w:t xml:space="preserve">注：端到端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1（①</w:t>
      </w:r>
      <w:r>
        <w:rPr>
          <w:vertAlign w:val="subscript"/>
        </w:rPr>
        <w:t>k</w:t>
      </w:r>
      <w:r>
        <w:t xml:space="preserve"> / ②</w:t>
      </w:r>
      <w:r>
        <w:rPr>
          <w:vertAlign w:val="subscript"/>
        </w:rPr>
        <w:t>k</w:t>
      </w:r>
      <w:r>
        <w:t xml:space="preserve"> 交换）+ SCI 内部轮数（由客户端 mpc 时间对 RTT 的斜率得到）；墙钟斜率因被 20–35 s 的服务端前向淹没，只作交叉核对。</w:t>
      </w:r>
    </w:p>
    <w:p w14:paraId="4DC00597">
      <w:pPr>
        <w:pStyle w:val="3"/>
      </w:pPr>
      <w:r>
        <w:t>协议主通道上每个 Hybrid 层恰好增加一上一下两条消息，</w:t>
      </w:r>
      <w:r>
        <w:rPr>
          <w:i/>
          <w:iCs/>
        </w:rPr>
        <w:t>R</w:t>
      </w:r>
      <w:r>
        <w:rPr>
          <w:vertAlign w:val="subscript"/>
        </w:rPr>
        <w:t>online</w:t>
      </w:r>
      <w:r>
        <w:t xml:space="preserve"> = 2 + </w:t>
      </w:r>
      <w:r>
        <w:rPr>
          <w:i/>
          <w:iCs/>
        </w:rPr>
        <w:t>K</w:t>
      </w:r>
      <w:r>
        <w:rPr>
          <w:vertAlign w:val="subscript"/>
        </w:rPr>
        <w:t>h</w:t>
      </w:r>
      <w:r>
        <w:t xml:space="preserve"> 严格成立，且与层宽、数据集无关。但 SCI 的 ReLU 在独立 socket 上还需约 5 个往返（43 位比较的 AND 树深度 4，加 1 次多路选择），所以端到端每层约 6 个往返：全 Hybrid 的 </w:t>
      </w:r>
      <w:r>
        <w:rPr>
          <w:i/>
          <w:iCs/>
        </w:rPr>
        <w:t>s</w:t>
      </w:r>
      <w:r>
        <w:t xml:space="preserve"> = 11 一次查询约 14 个往返，而不是设计目标的 4 个。这是当前实现与协议设计之间最主要的差距。</w:t>
      </w:r>
    </w:p>
    <w:p w14:paraId="4389ADFB">
      <w:pPr>
        <w:pStyle w:val="3"/>
      </w:pPr>
      <w:r>
        <w:rPr>
          <w:b/>
          <w:bCs/>
        </w:rPr>
        <w:t>端到端延迟（netem 实测）。</w:t>
      </w:r>
      <w:r>
        <w:t xml:space="preserve"> 表 7-13 给出桌面机回环上用 tc/netem 注入时延后的端到端实测延迟。</w:t>
      </w:r>
    </w:p>
    <w:p w14:paraId="02943146">
      <w:pPr>
        <w:pStyle w:val="44"/>
      </w:pPr>
      <w:r>
        <w:t>表 7-13：netem 端到端实测延迟（桌面机回环，不限速，4 次重复，单位 s）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432"/>
        <w:gridCol w:w="954"/>
        <w:gridCol w:w="1551"/>
        <w:gridCol w:w="1670"/>
        <w:gridCol w:w="1670"/>
        <w:gridCol w:w="1793"/>
      </w:tblGrid>
      <w:tr w14:paraId="1F303F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432" w:type="dxa"/>
            <w:vAlign w:val="center"/>
          </w:tcPr>
          <w:p w14:paraId="3607FCC3">
            <w:pPr>
              <w:pStyle w:val="84"/>
              <w:jc w:val="left"/>
            </w:pPr>
            <w:r>
              <w:t>数据集</w:t>
            </w:r>
          </w:p>
        </w:tc>
        <w:tc>
          <w:tcPr>
            <w:tcW w:w="954" w:type="dxa"/>
            <w:vAlign w:val="center"/>
          </w:tcPr>
          <w:p w14:paraId="076CDFBB">
            <w:pPr>
              <w:pStyle w:val="84"/>
              <w:jc w:val="center"/>
            </w:pPr>
            <w:r>
              <w:t>调度</w:t>
            </w:r>
          </w:p>
        </w:tc>
        <w:tc>
          <w:tcPr>
            <w:tcW w:w="1551" w:type="dxa"/>
            <w:vAlign w:val="center"/>
          </w:tcPr>
          <w:p w14:paraId="31D6D54E">
            <w:pPr>
              <w:pStyle w:val="84"/>
              <w:jc w:val="center"/>
            </w:pPr>
            <w:r>
              <w:t>时延 1 ms</w:t>
            </w:r>
          </w:p>
        </w:tc>
        <w:tc>
          <w:tcPr>
            <w:tcW w:w="1670" w:type="dxa"/>
            <w:vAlign w:val="center"/>
          </w:tcPr>
          <w:p w14:paraId="13A18AA6">
            <w:pPr>
              <w:pStyle w:val="84"/>
              <w:jc w:val="center"/>
            </w:pPr>
            <w:r>
              <w:t>时延 20 ms</w:t>
            </w:r>
          </w:p>
        </w:tc>
        <w:tc>
          <w:tcPr>
            <w:tcW w:w="1670" w:type="dxa"/>
            <w:vAlign w:val="center"/>
          </w:tcPr>
          <w:p w14:paraId="45000D6C">
            <w:pPr>
              <w:pStyle w:val="84"/>
              <w:jc w:val="center"/>
            </w:pPr>
            <w:r>
              <w:t>时延 50 ms</w:t>
            </w:r>
          </w:p>
        </w:tc>
        <w:tc>
          <w:tcPr>
            <w:tcW w:w="1793" w:type="dxa"/>
            <w:vAlign w:val="center"/>
          </w:tcPr>
          <w:p w14:paraId="6C804B63">
            <w:pPr>
              <w:pStyle w:val="84"/>
              <w:jc w:val="center"/>
            </w:pPr>
            <w:r>
              <w:t>时延 100 ms</w:t>
            </w:r>
          </w:p>
        </w:tc>
      </w:tr>
      <w:tr w14:paraId="08DE06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333E4E83">
            <w:pPr>
              <w:pStyle w:val="84"/>
              <w:jc w:val="left"/>
            </w:pPr>
            <w:r>
              <w:t>MNIST</w:t>
            </w:r>
          </w:p>
        </w:tc>
        <w:tc>
          <w:tcPr>
            <w:tcW w:w="954" w:type="dxa"/>
            <w:vAlign w:val="center"/>
          </w:tcPr>
          <w:p w14:paraId="6B85D0D4">
            <w:pPr>
              <w:pStyle w:val="84"/>
              <w:jc w:val="center"/>
            </w:pPr>
            <w:r>
              <w:t>00</w:t>
            </w:r>
          </w:p>
        </w:tc>
        <w:tc>
          <w:tcPr>
            <w:tcW w:w="1551" w:type="dxa"/>
            <w:vAlign w:val="center"/>
          </w:tcPr>
          <w:p w14:paraId="495824CA">
            <w:pPr>
              <w:pStyle w:val="84"/>
              <w:jc w:val="center"/>
            </w:pPr>
            <w:r>
              <w:t>7.64</w:t>
            </w:r>
          </w:p>
        </w:tc>
        <w:tc>
          <w:tcPr>
            <w:tcW w:w="1670" w:type="dxa"/>
            <w:vAlign w:val="center"/>
          </w:tcPr>
          <w:p w14:paraId="6F5BCF62">
            <w:pPr>
              <w:pStyle w:val="84"/>
              <w:jc w:val="center"/>
            </w:pPr>
            <w:r>
              <w:t>7.95</w:t>
            </w:r>
          </w:p>
        </w:tc>
        <w:tc>
          <w:tcPr>
            <w:tcW w:w="1670" w:type="dxa"/>
            <w:vAlign w:val="center"/>
          </w:tcPr>
          <w:p w14:paraId="250D734D">
            <w:pPr>
              <w:pStyle w:val="84"/>
              <w:jc w:val="center"/>
            </w:pPr>
            <w:r>
              <w:t>7.94</w:t>
            </w:r>
          </w:p>
        </w:tc>
        <w:tc>
          <w:tcPr>
            <w:tcW w:w="1793" w:type="dxa"/>
            <w:vAlign w:val="center"/>
          </w:tcPr>
          <w:p w14:paraId="3B95ADBF">
            <w:pPr>
              <w:pStyle w:val="84"/>
              <w:jc w:val="center"/>
            </w:pPr>
            <w:r>
              <w:t>8.25</w:t>
            </w:r>
          </w:p>
        </w:tc>
      </w:tr>
      <w:tr w14:paraId="112CBA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1E7AB336">
            <w:pPr>
              <w:pStyle w:val="84"/>
              <w:jc w:val="left"/>
            </w:pPr>
            <w:r>
              <w:t>MNIST</w:t>
            </w:r>
          </w:p>
        </w:tc>
        <w:tc>
          <w:tcPr>
            <w:tcW w:w="954" w:type="dxa"/>
            <w:vAlign w:val="center"/>
          </w:tcPr>
          <w:p w14:paraId="671898EF">
            <w:pPr>
              <w:pStyle w:val="84"/>
              <w:jc w:val="center"/>
            </w:pPr>
            <w:r>
              <w:t>01</w:t>
            </w:r>
          </w:p>
        </w:tc>
        <w:tc>
          <w:tcPr>
            <w:tcW w:w="1551" w:type="dxa"/>
            <w:vAlign w:val="center"/>
          </w:tcPr>
          <w:p w14:paraId="5696687A">
            <w:pPr>
              <w:pStyle w:val="84"/>
              <w:jc w:val="center"/>
            </w:pPr>
            <w:r>
              <w:t>8.17</w:t>
            </w:r>
          </w:p>
        </w:tc>
        <w:tc>
          <w:tcPr>
            <w:tcW w:w="1670" w:type="dxa"/>
            <w:vAlign w:val="center"/>
          </w:tcPr>
          <w:p w14:paraId="65E7AF53">
            <w:pPr>
              <w:pStyle w:val="84"/>
              <w:jc w:val="center"/>
            </w:pPr>
            <w:r>
              <w:t>8.69</w:t>
            </w:r>
          </w:p>
        </w:tc>
        <w:tc>
          <w:tcPr>
            <w:tcW w:w="1670" w:type="dxa"/>
            <w:vAlign w:val="center"/>
          </w:tcPr>
          <w:p w14:paraId="2180040F">
            <w:pPr>
              <w:pStyle w:val="84"/>
              <w:jc w:val="center"/>
            </w:pPr>
            <w:r>
              <w:t>9.14</w:t>
            </w:r>
          </w:p>
        </w:tc>
        <w:tc>
          <w:tcPr>
            <w:tcW w:w="1793" w:type="dxa"/>
            <w:vAlign w:val="center"/>
          </w:tcPr>
          <w:p w14:paraId="08649543">
            <w:pPr>
              <w:pStyle w:val="84"/>
              <w:jc w:val="center"/>
            </w:pPr>
            <w:r>
              <w:t>9.83</w:t>
            </w:r>
          </w:p>
        </w:tc>
      </w:tr>
      <w:tr w14:paraId="32FBE9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763952AD">
            <w:pPr>
              <w:pStyle w:val="84"/>
              <w:jc w:val="left"/>
            </w:pPr>
            <w:r>
              <w:t>MNIST</w:t>
            </w:r>
          </w:p>
        </w:tc>
        <w:tc>
          <w:tcPr>
            <w:tcW w:w="954" w:type="dxa"/>
            <w:vAlign w:val="center"/>
          </w:tcPr>
          <w:p w14:paraId="2758AC20">
            <w:pPr>
              <w:pStyle w:val="84"/>
              <w:jc w:val="center"/>
            </w:pPr>
            <w:r>
              <w:t>10</w:t>
            </w:r>
          </w:p>
        </w:tc>
        <w:tc>
          <w:tcPr>
            <w:tcW w:w="1551" w:type="dxa"/>
            <w:vAlign w:val="center"/>
          </w:tcPr>
          <w:p w14:paraId="2BD71425">
            <w:pPr>
              <w:pStyle w:val="84"/>
              <w:jc w:val="center"/>
            </w:pPr>
            <w:r>
              <w:t>10.60</w:t>
            </w:r>
          </w:p>
        </w:tc>
        <w:tc>
          <w:tcPr>
            <w:tcW w:w="1670" w:type="dxa"/>
            <w:vAlign w:val="center"/>
          </w:tcPr>
          <w:p w14:paraId="4DF39544">
            <w:pPr>
              <w:pStyle w:val="84"/>
              <w:jc w:val="center"/>
            </w:pPr>
            <w:r>
              <w:t>10.76</w:t>
            </w:r>
          </w:p>
        </w:tc>
        <w:tc>
          <w:tcPr>
            <w:tcW w:w="1670" w:type="dxa"/>
            <w:vAlign w:val="center"/>
          </w:tcPr>
          <w:p w14:paraId="1FDCE9EC">
            <w:pPr>
              <w:pStyle w:val="84"/>
              <w:jc w:val="center"/>
            </w:pPr>
            <w:r>
              <w:t>11.19</w:t>
            </w:r>
          </w:p>
        </w:tc>
        <w:tc>
          <w:tcPr>
            <w:tcW w:w="1793" w:type="dxa"/>
            <w:vAlign w:val="center"/>
          </w:tcPr>
          <w:p w14:paraId="1CAC8F83">
            <w:pPr>
              <w:pStyle w:val="84"/>
              <w:jc w:val="center"/>
            </w:pPr>
            <w:r>
              <w:t>12.32</w:t>
            </w:r>
          </w:p>
        </w:tc>
      </w:tr>
      <w:tr w14:paraId="4AEC36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3C4195F4">
            <w:pPr>
              <w:pStyle w:val="84"/>
              <w:jc w:val="left"/>
            </w:pPr>
            <w:r>
              <w:t>MNIST</w:t>
            </w:r>
          </w:p>
        </w:tc>
        <w:tc>
          <w:tcPr>
            <w:tcW w:w="954" w:type="dxa"/>
            <w:vAlign w:val="center"/>
          </w:tcPr>
          <w:p w14:paraId="339665E8">
            <w:pPr>
              <w:pStyle w:val="84"/>
              <w:jc w:val="center"/>
            </w:pPr>
            <w:r>
              <w:t>11</w:t>
            </w:r>
          </w:p>
        </w:tc>
        <w:tc>
          <w:tcPr>
            <w:tcW w:w="1551" w:type="dxa"/>
            <w:vAlign w:val="center"/>
          </w:tcPr>
          <w:p w14:paraId="61E9EADA">
            <w:pPr>
              <w:pStyle w:val="84"/>
              <w:jc w:val="center"/>
            </w:pPr>
            <w:r>
              <w:t>11.50</w:t>
            </w:r>
          </w:p>
        </w:tc>
        <w:tc>
          <w:tcPr>
            <w:tcW w:w="1670" w:type="dxa"/>
            <w:vAlign w:val="center"/>
          </w:tcPr>
          <w:p w14:paraId="2DE33A31">
            <w:pPr>
              <w:pStyle w:val="84"/>
              <w:jc w:val="center"/>
            </w:pPr>
            <w:r>
              <w:t>12.95</w:t>
            </w:r>
          </w:p>
        </w:tc>
        <w:tc>
          <w:tcPr>
            <w:tcW w:w="1670" w:type="dxa"/>
            <w:vAlign w:val="center"/>
          </w:tcPr>
          <w:p w14:paraId="5CA312E0">
            <w:pPr>
              <w:pStyle w:val="84"/>
              <w:jc w:val="center"/>
            </w:pPr>
            <w:r>
              <w:t>12.75</w:t>
            </w:r>
          </w:p>
        </w:tc>
        <w:tc>
          <w:tcPr>
            <w:tcW w:w="1793" w:type="dxa"/>
            <w:vAlign w:val="center"/>
          </w:tcPr>
          <w:p w14:paraId="04CD54B2">
            <w:pPr>
              <w:pStyle w:val="84"/>
              <w:jc w:val="center"/>
            </w:pPr>
            <w:r>
              <w:t>13.96</w:t>
            </w:r>
          </w:p>
        </w:tc>
      </w:tr>
      <w:tr w14:paraId="396128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65291A76">
            <w:pPr>
              <w:pStyle w:val="84"/>
              <w:jc w:val="left"/>
            </w:pPr>
            <w:r>
              <w:t>CIFAR-10</w:t>
            </w:r>
          </w:p>
        </w:tc>
        <w:tc>
          <w:tcPr>
            <w:tcW w:w="954" w:type="dxa"/>
            <w:vAlign w:val="center"/>
          </w:tcPr>
          <w:p w14:paraId="73BFC4E7">
            <w:pPr>
              <w:pStyle w:val="84"/>
              <w:jc w:val="center"/>
            </w:pPr>
            <w:r>
              <w:t>00</w:t>
            </w:r>
          </w:p>
        </w:tc>
        <w:tc>
          <w:tcPr>
            <w:tcW w:w="1551" w:type="dxa"/>
            <w:vAlign w:val="center"/>
          </w:tcPr>
          <w:p w14:paraId="6F9EB0AA">
            <w:pPr>
              <w:pStyle w:val="84"/>
              <w:jc w:val="center"/>
            </w:pPr>
            <w:r>
              <w:t>28.27</w:t>
            </w:r>
          </w:p>
        </w:tc>
        <w:tc>
          <w:tcPr>
            <w:tcW w:w="1670" w:type="dxa"/>
            <w:vAlign w:val="center"/>
          </w:tcPr>
          <w:p w14:paraId="1E10C43F">
            <w:pPr>
              <w:pStyle w:val="84"/>
              <w:jc w:val="center"/>
            </w:pPr>
            <w:r>
              <w:t>28.04</w:t>
            </w:r>
          </w:p>
        </w:tc>
        <w:tc>
          <w:tcPr>
            <w:tcW w:w="1670" w:type="dxa"/>
            <w:vAlign w:val="center"/>
          </w:tcPr>
          <w:p w14:paraId="432391F0">
            <w:pPr>
              <w:pStyle w:val="84"/>
              <w:jc w:val="center"/>
            </w:pPr>
            <w:r>
              <w:t>28.16</w:t>
            </w:r>
          </w:p>
        </w:tc>
        <w:tc>
          <w:tcPr>
            <w:tcW w:w="1793" w:type="dxa"/>
            <w:vAlign w:val="center"/>
          </w:tcPr>
          <w:p w14:paraId="745E9050">
            <w:pPr>
              <w:pStyle w:val="84"/>
              <w:jc w:val="center"/>
            </w:pPr>
            <w:r>
              <w:t>28.85</w:t>
            </w:r>
          </w:p>
        </w:tc>
      </w:tr>
      <w:tr w14:paraId="57EEF9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46C04B84">
            <w:pPr>
              <w:pStyle w:val="84"/>
              <w:jc w:val="left"/>
            </w:pPr>
            <w:r>
              <w:t>CIFAR-10</w:t>
            </w:r>
          </w:p>
        </w:tc>
        <w:tc>
          <w:tcPr>
            <w:tcW w:w="954" w:type="dxa"/>
            <w:vAlign w:val="center"/>
          </w:tcPr>
          <w:p w14:paraId="25ED1A2A">
            <w:pPr>
              <w:pStyle w:val="84"/>
              <w:jc w:val="center"/>
            </w:pPr>
            <w:r>
              <w:t>11</w:t>
            </w:r>
          </w:p>
        </w:tc>
        <w:tc>
          <w:tcPr>
            <w:tcW w:w="1551" w:type="dxa"/>
            <w:vAlign w:val="center"/>
          </w:tcPr>
          <w:p w14:paraId="2B0904EA">
            <w:pPr>
              <w:pStyle w:val="84"/>
              <w:jc w:val="center"/>
            </w:pPr>
            <w:r>
              <w:t>44.34</w:t>
            </w:r>
          </w:p>
        </w:tc>
        <w:tc>
          <w:tcPr>
            <w:tcW w:w="1670" w:type="dxa"/>
            <w:vAlign w:val="center"/>
          </w:tcPr>
          <w:p w14:paraId="7D3A4CD8">
            <w:pPr>
              <w:pStyle w:val="84"/>
              <w:jc w:val="center"/>
            </w:pPr>
            <w:r>
              <w:t>45.04</w:t>
            </w:r>
          </w:p>
        </w:tc>
        <w:tc>
          <w:tcPr>
            <w:tcW w:w="1670" w:type="dxa"/>
            <w:vAlign w:val="center"/>
          </w:tcPr>
          <w:p w14:paraId="3535274A">
            <w:pPr>
              <w:pStyle w:val="84"/>
              <w:jc w:val="center"/>
            </w:pPr>
            <w:r>
              <w:t>44.29</w:t>
            </w:r>
          </w:p>
        </w:tc>
        <w:tc>
          <w:tcPr>
            <w:tcW w:w="1793" w:type="dxa"/>
            <w:vAlign w:val="center"/>
          </w:tcPr>
          <w:p w14:paraId="11F55F90">
            <w:pPr>
              <w:pStyle w:val="84"/>
              <w:jc w:val="center"/>
            </w:pPr>
            <w:r>
              <w:t>46.19</w:t>
            </w:r>
          </w:p>
        </w:tc>
      </w:tr>
      <w:tr w14:paraId="570D2A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53FD0EB2">
            <w:pPr>
              <w:pStyle w:val="84"/>
              <w:jc w:val="left"/>
            </w:pPr>
            <w:r>
              <w:t>UCI HAR</w:t>
            </w:r>
          </w:p>
        </w:tc>
        <w:tc>
          <w:tcPr>
            <w:tcW w:w="954" w:type="dxa"/>
            <w:vAlign w:val="center"/>
          </w:tcPr>
          <w:p w14:paraId="7A24625C">
            <w:pPr>
              <w:pStyle w:val="84"/>
              <w:jc w:val="center"/>
            </w:pPr>
            <w:r>
              <w:t>00</w:t>
            </w:r>
          </w:p>
        </w:tc>
        <w:tc>
          <w:tcPr>
            <w:tcW w:w="1551" w:type="dxa"/>
            <w:vAlign w:val="center"/>
          </w:tcPr>
          <w:p w14:paraId="7B6477CC">
            <w:pPr>
              <w:pStyle w:val="84"/>
              <w:jc w:val="center"/>
            </w:pPr>
            <w:r>
              <w:t>22.71</w:t>
            </w:r>
          </w:p>
        </w:tc>
        <w:tc>
          <w:tcPr>
            <w:tcW w:w="1670" w:type="dxa"/>
            <w:vAlign w:val="center"/>
          </w:tcPr>
          <w:p w14:paraId="30B331C9">
            <w:pPr>
              <w:pStyle w:val="84"/>
              <w:jc w:val="center"/>
            </w:pPr>
            <w:r>
              <w:t>22.84</w:t>
            </w:r>
          </w:p>
        </w:tc>
        <w:tc>
          <w:tcPr>
            <w:tcW w:w="1670" w:type="dxa"/>
            <w:vAlign w:val="center"/>
          </w:tcPr>
          <w:p w14:paraId="145005E2">
            <w:pPr>
              <w:pStyle w:val="84"/>
              <w:jc w:val="center"/>
            </w:pPr>
            <w:r>
              <w:t>22.87</w:t>
            </w:r>
          </w:p>
        </w:tc>
        <w:tc>
          <w:tcPr>
            <w:tcW w:w="1793" w:type="dxa"/>
            <w:vAlign w:val="center"/>
          </w:tcPr>
          <w:p w14:paraId="6F4BC788">
            <w:pPr>
              <w:pStyle w:val="84"/>
              <w:jc w:val="center"/>
            </w:pPr>
            <w:r>
              <w:t>22.93</w:t>
            </w:r>
          </w:p>
        </w:tc>
      </w:tr>
      <w:tr w14:paraId="2F66E0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0DD27C94">
            <w:pPr>
              <w:pStyle w:val="84"/>
              <w:jc w:val="left"/>
            </w:pPr>
            <w:r>
              <w:t>UCI HAR</w:t>
            </w:r>
          </w:p>
        </w:tc>
        <w:tc>
          <w:tcPr>
            <w:tcW w:w="954" w:type="dxa"/>
            <w:vAlign w:val="center"/>
          </w:tcPr>
          <w:p w14:paraId="64DA7808">
            <w:pPr>
              <w:pStyle w:val="84"/>
              <w:jc w:val="center"/>
            </w:pPr>
            <w:r>
              <w:t>11</w:t>
            </w:r>
          </w:p>
        </w:tc>
        <w:tc>
          <w:tcPr>
            <w:tcW w:w="1551" w:type="dxa"/>
            <w:vAlign w:val="center"/>
          </w:tcPr>
          <w:p w14:paraId="374A4F40">
            <w:pPr>
              <w:pStyle w:val="84"/>
              <w:jc w:val="center"/>
            </w:pPr>
            <w:r>
              <w:t>35.55</w:t>
            </w:r>
          </w:p>
        </w:tc>
        <w:tc>
          <w:tcPr>
            <w:tcW w:w="1670" w:type="dxa"/>
            <w:vAlign w:val="center"/>
          </w:tcPr>
          <w:p w14:paraId="146315F0">
            <w:pPr>
              <w:pStyle w:val="84"/>
              <w:jc w:val="center"/>
            </w:pPr>
            <w:r>
              <w:t>33.48</w:t>
            </w:r>
          </w:p>
        </w:tc>
        <w:tc>
          <w:tcPr>
            <w:tcW w:w="1670" w:type="dxa"/>
            <w:vAlign w:val="center"/>
          </w:tcPr>
          <w:p w14:paraId="5683F1A7">
            <w:pPr>
              <w:pStyle w:val="84"/>
              <w:jc w:val="center"/>
            </w:pPr>
            <w:r>
              <w:t>35.16</w:t>
            </w:r>
          </w:p>
        </w:tc>
        <w:tc>
          <w:tcPr>
            <w:tcW w:w="1793" w:type="dxa"/>
            <w:vAlign w:val="center"/>
          </w:tcPr>
          <w:p w14:paraId="66878C2B">
            <w:pPr>
              <w:pStyle w:val="84"/>
              <w:jc w:val="center"/>
            </w:pPr>
            <w:r>
              <w:t>36.91</w:t>
            </w:r>
          </w:p>
        </w:tc>
      </w:tr>
    </w:tbl>
    <w:p w14:paraId="55599F03">
      <w:pPr>
        <w:pStyle w:val="83"/>
      </w:pPr>
      <w:r>
        <w:t>注：时延为 netem 在客户端出口配置的值，回环上双向生效（delay_mult = 2）。客户端 SCI 时间随配置时延线性增长：</w:t>
      </w:r>
      <w:r>
        <w:rPr>
          <w:i/>
          <w:iCs/>
        </w:rPr>
        <w:t>s</w:t>
      </w:r>
      <w:r>
        <w:t xml:space="preserve"> = 11 时从 27 ms（1 ms）增至 2.02 s（100 ms）。CIFAR-10 / UCI HAR 的 01、10 两档见原始数据。</w:t>
      </w:r>
    </w:p>
    <w:p w14:paraId="4E9B84A3">
      <w:pPr>
        <w:pStyle w:val="3"/>
      </w:pPr>
      <w:r>
        <w:t>端到端延迟由服务端密文前向主导：MNIST 约 7.6 s，CIFAR-10 约 28 s，UCI HAR 约 23 s。每增加一个 Hybrid 层，服务端前向本身也变长（例如 CIFAR-10 从 28.3 s 增至 44.3 s），因为再加密得到的新鲜密文让后续线性层在更高 level 上计算。在这台桌面机上，网络项只占总延迟的一小部分，但 Hybrid 层的 RTT 敏感度是 HE-only 的数倍。</w:t>
      </w:r>
    </w:p>
    <w:p w14:paraId="5932E49C">
      <w:pPr>
        <w:pStyle w:val="3"/>
      </w:pPr>
      <w:r>
        <w:rPr>
          <w:b/>
          <w:bCs/>
        </w:rPr>
        <w:t>RTT 与带宽敏感性（解析模型）。</w:t>
      </w:r>
      <w:r>
        <w:t xml:space="preserve"> 为把网络项从服务端计算中分离出来，我们用实测输入代入解析模型：每个 Hybrid 层的边际代价 =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·RTT + 4.02 ms（客户端解密 + 再加密）+ 1410.2 KB / BW（L4 下行 + L7 上行 + 2 KB OT 估计）。表 7-14 分别按设计值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1 与端到端实测值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6.025 计算。</w:t>
      </w:r>
    </w:p>
    <w:p w14:paraId="50ACE8A1">
      <w:pPr>
        <w:pStyle w:val="44"/>
      </w:pPr>
      <w:r>
        <w:t>表 7-14：每增加一个 Hybrid 层的边际网络代价（换算值，baseline 线格式，单位 ms）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850"/>
        <w:gridCol w:w="1204"/>
        <w:gridCol w:w="1488"/>
        <w:gridCol w:w="1204"/>
        <w:gridCol w:w="1488"/>
        <w:gridCol w:w="1275"/>
        <w:gridCol w:w="1561"/>
      </w:tblGrid>
      <w:tr w14:paraId="27C2EE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850" w:type="dxa"/>
            <w:vAlign w:val="center"/>
          </w:tcPr>
          <w:p w14:paraId="6A8E3291">
            <w:pPr>
              <w:pStyle w:val="84"/>
              <w:jc w:val="center"/>
            </w:pPr>
            <w:r>
              <w:t>RTT (ms)</w:t>
            </w:r>
          </w:p>
        </w:tc>
        <w:tc>
          <w:tcPr>
            <w:tcW w:w="1204" w:type="dxa"/>
            <w:vAlign w:val="center"/>
          </w:tcPr>
          <w:p w14:paraId="2544DF23">
            <w:pPr>
              <w:pStyle w:val="84"/>
              <w:jc w:val="center"/>
            </w:pPr>
            <w:r>
              <w:t>10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=1</w:t>
            </w:r>
          </w:p>
        </w:tc>
        <w:tc>
          <w:tcPr>
            <w:tcW w:w="1488" w:type="dxa"/>
            <w:vAlign w:val="center"/>
          </w:tcPr>
          <w:p w14:paraId="766AB310">
            <w:pPr>
              <w:pStyle w:val="84"/>
              <w:jc w:val="center"/>
            </w:pPr>
            <w:r>
              <w:t>10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=6.025</w:t>
            </w:r>
          </w:p>
        </w:tc>
        <w:tc>
          <w:tcPr>
            <w:tcW w:w="1204" w:type="dxa"/>
            <w:vAlign w:val="center"/>
          </w:tcPr>
          <w:p w14:paraId="07BDD93C">
            <w:pPr>
              <w:pStyle w:val="84"/>
              <w:jc w:val="center"/>
            </w:pPr>
            <w:r>
              <w:t>50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=1</w:t>
            </w:r>
          </w:p>
        </w:tc>
        <w:tc>
          <w:tcPr>
            <w:tcW w:w="1488" w:type="dxa"/>
            <w:vAlign w:val="center"/>
          </w:tcPr>
          <w:p w14:paraId="10D6DEEC">
            <w:pPr>
              <w:pStyle w:val="84"/>
              <w:jc w:val="center"/>
            </w:pPr>
            <w:r>
              <w:t>50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=6.025</w:t>
            </w:r>
          </w:p>
        </w:tc>
        <w:tc>
          <w:tcPr>
            <w:tcW w:w="1275" w:type="dxa"/>
            <w:vAlign w:val="center"/>
          </w:tcPr>
          <w:p w14:paraId="6A57FF32">
            <w:pPr>
              <w:pStyle w:val="84"/>
              <w:jc w:val="center"/>
            </w:pPr>
            <w:r>
              <w:t>100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=1</w:t>
            </w:r>
          </w:p>
        </w:tc>
        <w:tc>
          <w:tcPr>
            <w:tcW w:w="1561" w:type="dxa"/>
            <w:vAlign w:val="center"/>
          </w:tcPr>
          <w:p w14:paraId="0CA0A069">
            <w:pPr>
              <w:pStyle w:val="84"/>
              <w:jc w:val="center"/>
            </w:pPr>
            <w:r>
              <w:t>100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=6.025</w:t>
            </w:r>
          </w:p>
        </w:tc>
      </w:tr>
      <w:tr w14:paraId="5F8D8E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A6B3B1B">
            <w:pPr>
              <w:pStyle w:val="84"/>
              <w:jc w:val="center"/>
            </w:pPr>
            <w:r>
              <w:t>1</w:t>
            </w:r>
          </w:p>
        </w:tc>
        <w:tc>
          <w:tcPr>
            <w:tcW w:w="1204" w:type="dxa"/>
            <w:vAlign w:val="center"/>
          </w:tcPr>
          <w:p w14:paraId="4F0BFCAD">
            <w:pPr>
              <w:pStyle w:val="84"/>
              <w:jc w:val="center"/>
            </w:pPr>
            <w:r>
              <w:t>1,160.3</w:t>
            </w:r>
          </w:p>
        </w:tc>
        <w:tc>
          <w:tcPr>
            <w:tcW w:w="1488" w:type="dxa"/>
            <w:vAlign w:val="center"/>
          </w:tcPr>
          <w:p w14:paraId="7DA59168">
            <w:pPr>
              <w:pStyle w:val="84"/>
              <w:jc w:val="center"/>
            </w:pPr>
            <w:r>
              <w:t>1,165.3</w:t>
            </w:r>
          </w:p>
        </w:tc>
        <w:tc>
          <w:tcPr>
            <w:tcW w:w="1204" w:type="dxa"/>
            <w:vAlign w:val="center"/>
          </w:tcPr>
          <w:p w14:paraId="7EB09C6F">
            <w:pPr>
              <w:pStyle w:val="84"/>
              <w:jc w:val="center"/>
            </w:pPr>
            <w:r>
              <w:t>236.1</w:t>
            </w:r>
          </w:p>
        </w:tc>
        <w:tc>
          <w:tcPr>
            <w:tcW w:w="1488" w:type="dxa"/>
            <w:vAlign w:val="center"/>
          </w:tcPr>
          <w:p w14:paraId="725E105D">
            <w:pPr>
              <w:pStyle w:val="84"/>
              <w:jc w:val="center"/>
            </w:pPr>
            <w:r>
              <w:t>241.1</w:t>
            </w:r>
          </w:p>
        </w:tc>
        <w:tc>
          <w:tcPr>
            <w:tcW w:w="1275" w:type="dxa"/>
            <w:vAlign w:val="center"/>
          </w:tcPr>
          <w:p w14:paraId="11736894">
            <w:pPr>
              <w:pStyle w:val="84"/>
              <w:jc w:val="center"/>
            </w:pPr>
            <w:r>
              <w:t>120.5</w:t>
            </w:r>
          </w:p>
        </w:tc>
        <w:tc>
          <w:tcPr>
            <w:tcW w:w="1561" w:type="dxa"/>
            <w:vAlign w:val="center"/>
          </w:tcPr>
          <w:p w14:paraId="615FC3E0">
            <w:pPr>
              <w:pStyle w:val="84"/>
              <w:jc w:val="center"/>
            </w:pPr>
            <w:r>
              <w:t>125.6</w:t>
            </w:r>
          </w:p>
        </w:tc>
      </w:tr>
      <w:tr w14:paraId="6700D6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181A89B3">
            <w:pPr>
              <w:pStyle w:val="84"/>
              <w:jc w:val="center"/>
            </w:pPr>
            <w:r>
              <w:t>20</w:t>
            </w:r>
          </w:p>
        </w:tc>
        <w:tc>
          <w:tcPr>
            <w:tcW w:w="1204" w:type="dxa"/>
            <w:vAlign w:val="center"/>
          </w:tcPr>
          <w:p w14:paraId="7260823E">
            <w:pPr>
              <w:pStyle w:val="84"/>
              <w:jc w:val="center"/>
            </w:pPr>
            <w:r>
              <w:t>1,179.3</w:t>
            </w:r>
          </w:p>
        </w:tc>
        <w:tc>
          <w:tcPr>
            <w:tcW w:w="1488" w:type="dxa"/>
            <w:vAlign w:val="center"/>
          </w:tcPr>
          <w:p w14:paraId="32FFE278">
            <w:pPr>
              <w:pStyle w:val="84"/>
              <w:jc w:val="center"/>
            </w:pPr>
            <w:r>
              <w:t>1,279.8</w:t>
            </w:r>
          </w:p>
        </w:tc>
        <w:tc>
          <w:tcPr>
            <w:tcW w:w="1204" w:type="dxa"/>
            <w:vAlign w:val="center"/>
          </w:tcPr>
          <w:p w14:paraId="6A9D3061">
            <w:pPr>
              <w:pStyle w:val="84"/>
              <w:jc w:val="center"/>
            </w:pPr>
            <w:r>
              <w:t>255.1</w:t>
            </w:r>
          </w:p>
        </w:tc>
        <w:tc>
          <w:tcPr>
            <w:tcW w:w="1488" w:type="dxa"/>
            <w:vAlign w:val="center"/>
          </w:tcPr>
          <w:p w14:paraId="207EC0A6">
            <w:pPr>
              <w:pStyle w:val="84"/>
              <w:jc w:val="center"/>
            </w:pPr>
            <w:r>
              <w:t>355.6</w:t>
            </w:r>
          </w:p>
        </w:tc>
        <w:tc>
          <w:tcPr>
            <w:tcW w:w="1275" w:type="dxa"/>
            <w:vAlign w:val="center"/>
          </w:tcPr>
          <w:p w14:paraId="04C57828">
            <w:pPr>
              <w:pStyle w:val="84"/>
              <w:jc w:val="center"/>
            </w:pPr>
            <w:r>
              <w:t>139.5</w:t>
            </w:r>
          </w:p>
        </w:tc>
        <w:tc>
          <w:tcPr>
            <w:tcW w:w="1561" w:type="dxa"/>
            <w:vAlign w:val="center"/>
          </w:tcPr>
          <w:p w14:paraId="1A9548BC">
            <w:pPr>
              <w:pStyle w:val="84"/>
              <w:jc w:val="center"/>
            </w:pPr>
            <w:r>
              <w:t>240.0</w:t>
            </w:r>
          </w:p>
        </w:tc>
      </w:tr>
      <w:tr w14:paraId="22688C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157151F6">
            <w:pPr>
              <w:pStyle w:val="84"/>
              <w:jc w:val="center"/>
            </w:pPr>
            <w:r>
              <w:t>50</w:t>
            </w:r>
          </w:p>
        </w:tc>
        <w:tc>
          <w:tcPr>
            <w:tcW w:w="1204" w:type="dxa"/>
            <w:vAlign w:val="center"/>
          </w:tcPr>
          <w:p w14:paraId="2C93EF36">
            <w:pPr>
              <w:pStyle w:val="84"/>
              <w:jc w:val="center"/>
            </w:pPr>
            <w:r>
              <w:t>1,209.3</w:t>
            </w:r>
          </w:p>
        </w:tc>
        <w:tc>
          <w:tcPr>
            <w:tcW w:w="1488" w:type="dxa"/>
            <w:vAlign w:val="center"/>
          </w:tcPr>
          <w:p w14:paraId="4AECCAE4">
            <w:pPr>
              <w:pStyle w:val="84"/>
              <w:jc w:val="center"/>
            </w:pPr>
            <w:r>
              <w:t>1,460.5</w:t>
            </w:r>
          </w:p>
        </w:tc>
        <w:tc>
          <w:tcPr>
            <w:tcW w:w="1204" w:type="dxa"/>
            <w:vAlign w:val="center"/>
          </w:tcPr>
          <w:p w14:paraId="6AA4270B">
            <w:pPr>
              <w:pStyle w:val="84"/>
              <w:jc w:val="center"/>
            </w:pPr>
            <w:r>
              <w:t>285.1</w:t>
            </w:r>
          </w:p>
        </w:tc>
        <w:tc>
          <w:tcPr>
            <w:tcW w:w="1488" w:type="dxa"/>
            <w:vAlign w:val="center"/>
          </w:tcPr>
          <w:p w14:paraId="45C3A1DF">
            <w:pPr>
              <w:pStyle w:val="84"/>
              <w:jc w:val="center"/>
            </w:pPr>
            <w:r>
              <w:t>536.3</w:t>
            </w:r>
          </w:p>
        </w:tc>
        <w:tc>
          <w:tcPr>
            <w:tcW w:w="1275" w:type="dxa"/>
            <w:vAlign w:val="center"/>
          </w:tcPr>
          <w:p w14:paraId="4E079290">
            <w:pPr>
              <w:pStyle w:val="84"/>
              <w:jc w:val="center"/>
            </w:pPr>
            <w:r>
              <w:t>169.5</w:t>
            </w:r>
          </w:p>
        </w:tc>
        <w:tc>
          <w:tcPr>
            <w:tcW w:w="1561" w:type="dxa"/>
            <w:vAlign w:val="center"/>
          </w:tcPr>
          <w:p w14:paraId="69A762CE">
            <w:pPr>
              <w:pStyle w:val="84"/>
              <w:jc w:val="center"/>
            </w:pPr>
            <w:r>
              <w:t>420.8</w:t>
            </w:r>
          </w:p>
        </w:tc>
      </w:tr>
      <w:tr w14:paraId="5ED916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6DA7EB6">
            <w:pPr>
              <w:pStyle w:val="84"/>
              <w:jc w:val="center"/>
            </w:pPr>
            <w:r>
              <w:t>100</w:t>
            </w:r>
          </w:p>
        </w:tc>
        <w:tc>
          <w:tcPr>
            <w:tcW w:w="1204" w:type="dxa"/>
            <w:vAlign w:val="center"/>
          </w:tcPr>
          <w:p w14:paraId="0BAC742F">
            <w:pPr>
              <w:pStyle w:val="84"/>
              <w:jc w:val="center"/>
            </w:pPr>
            <w:r>
              <w:t>1,259.3</w:t>
            </w:r>
          </w:p>
        </w:tc>
        <w:tc>
          <w:tcPr>
            <w:tcW w:w="1488" w:type="dxa"/>
            <w:vAlign w:val="center"/>
          </w:tcPr>
          <w:p w14:paraId="5BD2F1FF">
            <w:pPr>
              <w:pStyle w:val="84"/>
              <w:jc w:val="center"/>
            </w:pPr>
            <w:r>
              <w:t>1,761.8</w:t>
            </w:r>
          </w:p>
        </w:tc>
        <w:tc>
          <w:tcPr>
            <w:tcW w:w="1204" w:type="dxa"/>
            <w:vAlign w:val="center"/>
          </w:tcPr>
          <w:p w14:paraId="783253C2">
            <w:pPr>
              <w:pStyle w:val="84"/>
              <w:jc w:val="center"/>
            </w:pPr>
            <w:r>
              <w:t>335.1</w:t>
            </w:r>
          </w:p>
        </w:tc>
        <w:tc>
          <w:tcPr>
            <w:tcW w:w="1488" w:type="dxa"/>
            <w:vAlign w:val="center"/>
          </w:tcPr>
          <w:p w14:paraId="2928F511">
            <w:pPr>
              <w:pStyle w:val="84"/>
              <w:jc w:val="center"/>
            </w:pPr>
            <w:r>
              <w:t>837.6</w:t>
            </w:r>
          </w:p>
        </w:tc>
        <w:tc>
          <w:tcPr>
            <w:tcW w:w="1275" w:type="dxa"/>
            <w:vAlign w:val="center"/>
          </w:tcPr>
          <w:p w14:paraId="596DFEB1">
            <w:pPr>
              <w:pStyle w:val="84"/>
              <w:jc w:val="center"/>
            </w:pPr>
            <w:r>
              <w:t>219.5</w:t>
            </w:r>
          </w:p>
        </w:tc>
        <w:tc>
          <w:tcPr>
            <w:tcW w:w="1561" w:type="dxa"/>
            <w:vAlign w:val="center"/>
          </w:tcPr>
          <w:p w14:paraId="4C0EED61">
            <w:pPr>
              <w:pStyle w:val="84"/>
              <w:jc w:val="center"/>
            </w:pPr>
            <w:r>
              <w:t>722.0</w:t>
            </w:r>
          </w:p>
        </w:tc>
      </w:tr>
      <w:tr w14:paraId="3FA49D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F21B9F6">
            <w:pPr>
              <w:pStyle w:val="84"/>
              <w:jc w:val="center"/>
            </w:pPr>
            <w:r>
              <w:t>200</w:t>
            </w:r>
          </w:p>
        </w:tc>
        <w:tc>
          <w:tcPr>
            <w:tcW w:w="1204" w:type="dxa"/>
            <w:vAlign w:val="center"/>
          </w:tcPr>
          <w:p w14:paraId="25BAD855">
            <w:pPr>
              <w:pStyle w:val="84"/>
              <w:jc w:val="center"/>
            </w:pPr>
            <w:r>
              <w:t>1,359.3</w:t>
            </w:r>
          </w:p>
        </w:tc>
        <w:tc>
          <w:tcPr>
            <w:tcW w:w="1488" w:type="dxa"/>
            <w:vAlign w:val="center"/>
          </w:tcPr>
          <w:p w14:paraId="35C246AE">
            <w:pPr>
              <w:pStyle w:val="84"/>
              <w:jc w:val="center"/>
            </w:pPr>
            <w:r>
              <w:t>2,364.3</w:t>
            </w:r>
          </w:p>
        </w:tc>
        <w:tc>
          <w:tcPr>
            <w:tcW w:w="1204" w:type="dxa"/>
            <w:vAlign w:val="center"/>
          </w:tcPr>
          <w:p w14:paraId="4E8E065D">
            <w:pPr>
              <w:pStyle w:val="84"/>
              <w:jc w:val="center"/>
            </w:pPr>
            <w:r>
              <w:t>435.1</w:t>
            </w:r>
          </w:p>
        </w:tc>
        <w:tc>
          <w:tcPr>
            <w:tcW w:w="1488" w:type="dxa"/>
            <w:vAlign w:val="center"/>
          </w:tcPr>
          <w:p w14:paraId="590A32D4">
            <w:pPr>
              <w:pStyle w:val="84"/>
              <w:jc w:val="center"/>
            </w:pPr>
            <w:r>
              <w:t>1,440.1</w:t>
            </w:r>
          </w:p>
        </w:tc>
        <w:tc>
          <w:tcPr>
            <w:tcW w:w="1275" w:type="dxa"/>
            <w:vAlign w:val="center"/>
          </w:tcPr>
          <w:p w14:paraId="0E29A4A8">
            <w:pPr>
              <w:pStyle w:val="84"/>
              <w:jc w:val="center"/>
            </w:pPr>
            <w:r>
              <w:t>319.5</w:t>
            </w:r>
          </w:p>
        </w:tc>
        <w:tc>
          <w:tcPr>
            <w:tcW w:w="1561" w:type="dxa"/>
            <w:vAlign w:val="center"/>
          </w:tcPr>
          <w:p w14:paraId="14ECB60B">
            <w:pPr>
              <w:pStyle w:val="84"/>
              <w:jc w:val="center"/>
            </w:pPr>
            <w:r>
              <w:t>1,324.5</w:t>
            </w:r>
          </w:p>
        </w:tc>
      </w:tr>
    </w:tbl>
    <w:p w14:paraId="06A9F5A6">
      <w:pPr>
        <w:pStyle w:val="83"/>
      </w:pPr>
      <w:r>
        <w:t>注：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1 一列与仓库 E3 输出一致；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6.025 一列按同一公式、只替换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换算。不含服务端每层 MPC（约 48.6 ms）。</w:t>
      </w:r>
    </w:p>
    <w:p w14:paraId="3DBC5615">
      <w:pPr>
        <w:pStyle w:val="3"/>
      </w:pPr>
      <w:r>
        <w:t xml:space="preserve">在 10 Mbps 链路上，约 1.4 MB 的密文传输（约 1,155 ms）主导每层代价，这正是表 7-11 线格式压缩的价值所在；带宽提高到 100 Mbps 后，按实测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6.025，RTT 项在 RTT ≥ 20 ms 时就超过字节项。因此在弱网上要同时降字节和降轮数，只降其一收益有限。</w:t>
      </w:r>
    </w:p>
    <w:p w14:paraId="30D95418">
      <w:pPr>
        <w:pStyle w:val="3"/>
      </w:pPr>
      <w:r>
        <w:rPr>
          <w:b/>
          <w:bCs/>
        </w:rPr>
        <w:t>丢包与抖动（解析模型）。</w:t>
      </w:r>
      <w:r>
        <w:t xml:space="preserve"> 表 7-15 用同一组实测输入估计丢包与抖动对 </w:t>
      </w:r>
      <w:r>
        <w:rPr>
          <w:i/>
          <w:iCs/>
        </w:rPr>
        <w:t>s</w:t>
      </w:r>
      <w:r>
        <w:t xml:space="preserve"> = 11 的影响（MNIST，RTT 100 ms，10 Mbps，抖动 ±30 ms）。</w:t>
      </w:r>
    </w:p>
    <w:p w14:paraId="686DF61B">
      <w:pPr>
        <w:pStyle w:val="44"/>
      </w:pPr>
      <w:r>
        <w:t>表 7-15：丢包对端到端延迟的影响（换算值，</w:t>
      </w:r>
      <w:r>
        <w:rPr>
          <w:i/>
          <w:iCs/>
        </w:rPr>
        <w:t>s</w:t>
      </w:r>
      <w:r>
        <w:t xml:space="preserve"> = 11，MNIST，RTT 100 ms，10 Mbps，抖动 ±30 ms）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91"/>
        <w:gridCol w:w="1036"/>
        <w:gridCol w:w="1814"/>
        <w:gridCol w:w="1814"/>
        <w:gridCol w:w="1815"/>
      </w:tblGrid>
      <w:tr w14:paraId="65361D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591" w:type="dxa"/>
            <w:vAlign w:val="center"/>
          </w:tcPr>
          <w:p w14:paraId="0DEE0024">
            <w:pPr>
              <w:pStyle w:val="84"/>
              <w:jc w:val="left"/>
            </w:pPr>
            <w:r>
              <w:t>每层往返方案</w:t>
            </w:r>
          </w:p>
        </w:tc>
        <w:tc>
          <w:tcPr>
            <w:tcW w:w="1036" w:type="dxa"/>
            <w:vAlign w:val="center"/>
          </w:tcPr>
          <w:p w14:paraId="66E0BCEA">
            <w:pPr>
              <w:pStyle w:val="84"/>
              <w:jc w:val="center"/>
            </w:pPr>
            <w:r>
              <w:t>总往返数</w:t>
            </w:r>
          </w:p>
        </w:tc>
        <w:tc>
          <w:tcPr>
            <w:tcW w:w="1814" w:type="dxa"/>
            <w:vAlign w:val="center"/>
          </w:tcPr>
          <w:p w14:paraId="5B6C2CBC">
            <w:pPr>
              <w:pStyle w:val="84"/>
              <w:jc w:val="center"/>
            </w:pPr>
            <w:r>
              <w:t>丢包 0%：p95 增量</w:t>
            </w:r>
          </w:p>
        </w:tc>
        <w:tc>
          <w:tcPr>
            <w:tcW w:w="1814" w:type="dxa"/>
            <w:vAlign w:val="center"/>
          </w:tcPr>
          <w:p w14:paraId="62224289">
            <w:pPr>
              <w:pStyle w:val="84"/>
              <w:jc w:val="center"/>
            </w:pPr>
            <w:r>
              <w:t>丢包 1%：p95 增量</w:t>
            </w:r>
          </w:p>
        </w:tc>
        <w:tc>
          <w:tcPr>
            <w:tcW w:w="1815" w:type="dxa"/>
            <w:vAlign w:val="center"/>
          </w:tcPr>
          <w:p w14:paraId="39092F93">
            <w:pPr>
              <w:pStyle w:val="84"/>
              <w:jc w:val="center"/>
            </w:pPr>
            <w:r>
              <w:t>丢包 5%：p95 增量</w:t>
            </w:r>
          </w:p>
        </w:tc>
      </w:tr>
      <w:tr w14:paraId="795A34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91" w:type="dxa"/>
            <w:vAlign w:val="center"/>
          </w:tcPr>
          <w:p w14:paraId="371385A5">
            <w:pPr>
              <w:pStyle w:val="84"/>
              <w:jc w:val="left"/>
            </w:pPr>
            <w:r>
              <w:t>实测 SCI（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 xml:space="preserve"> = 6.025）</w:t>
            </w:r>
          </w:p>
        </w:tc>
        <w:tc>
          <w:tcPr>
            <w:tcW w:w="1036" w:type="dxa"/>
            <w:vAlign w:val="center"/>
          </w:tcPr>
          <w:p w14:paraId="1354E0BF">
            <w:pPr>
              <w:pStyle w:val="84"/>
              <w:jc w:val="center"/>
            </w:pPr>
            <w:r>
              <w:t>14.05</w:t>
            </w:r>
          </w:p>
        </w:tc>
        <w:tc>
          <w:tcPr>
            <w:tcW w:w="1814" w:type="dxa"/>
            <w:vAlign w:val="center"/>
          </w:tcPr>
          <w:p w14:paraId="108A5477">
            <w:pPr>
              <w:pStyle w:val="84"/>
              <w:jc w:val="center"/>
            </w:pPr>
            <w:r>
              <w:t>106.8 ms</w:t>
            </w:r>
          </w:p>
        </w:tc>
        <w:tc>
          <w:tcPr>
            <w:tcW w:w="1814" w:type="dxa"/>
            <w:vAlign w:val="center"/>
          </w:tcPr>
          <w:p w14:paraId="41B70975">
            <w:pPr>
              <w:pStyle w:val="84"/>
              <w:jc w:val="center"/>
            </w:pPr>
            <w:r>
              <w:t>137.8 ms</w:t>
            </w:r>
          </w:p>
        </w:tc>
        <w:tc>
          <w:tcPr>
            <w:tcW w:w="1815" w:type="dxa"/>
            <w:vAlign w:val="center"/>
          </w:tcPr>
          <w:p w14:paraId="1CCB3709">
            <w:pPr>
              <w:pStyle w:val="84"/>
              <w:jc w:val="center"/>
            </w:pPr>
            <w:r>
              <w:t>254.1 ms</w:t>
            </w:r>
          </w:p>
        </w:tc>
      </w:tr>
      <w:tr w14:paraId="69D37C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91" w:type="dxa"/>
            <w:vAlign w:val="center"/>
          </w:tcPr>
          <w:p w14:paraId="261BFBA9">
            <w:pPr>
              <w:pStyle w:val="84"/>
              <w:jc w:val="left"/>
            </w:pPr>
            <w:r>
              <w:t>CrypTFlow2 理论（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 xml:space="preserve"> = 7）</w:t>
            </w:r>
          </w:p>
        </w:tc>
        <w:tc>
          <w:tcPr>
            <w:tcW w:w="1036" w:type="dxa"/>
            <w:vAlign w:val="center"/>
          </w:tcPr>
          <w:p w14:paraId="52CB77E0">
            <w:pPr>
              <w:pStyle w:val="84"/>
              <w:jc w:val="center"/>
            </w:pPr>
            <w:r>
              <w:t>16</w:t>
            </w:r>
          </w:p>
        </w:tc>
        <w:tc>
          <w:tcPr>
            <w:tcW w:w="1814" w:type="dxa"/>
            <w:vAlign w:val="center"/>
          </w:tcPr>
          <w:p w14:paraId="1EE622AB">
            <w:pPr>
              <w:pStyle w:val="84"/>
              <w:jc w:val="center"/>
            </w:pPr>
            <w:r>
              <w:t>309.0 ms</w:t>
            </w:r>
          </w:p>
        </w:tc>
        <w:tc>
          <w:tcPr>
            <w:tcW w:w="1814" w:type="dxa"/>
            <w:vAlign w:val="center"/>
          </w:tcPr>
          <w:p w14:paraId="45121713">
            <w:pPr>
              <w:pStyle w:val="84"/>
              <w:jc w:val="center"/>
            </w:pPr>
            <w:r>
              <w:t>343.1 ms</w:t>
            </w:r>
          </w:p>
        </w:tc>
        <w:tc>
          <w:tcPr>
            <w:tcW w:w="1815" w:type="dxa"/>
            <w:vAlign w:val="center"/>
          </w:tcPr>
          <w:p w14:paraId="1007AB95">
            <w:pPr>
              <w:pStyle w:val="84"/>
              <w:jc w:val="center"/>
            </w:pPr>
            <w:r>
              <w:t>471.5 ms</w:t>
            </w:r>
          </w:p>
        </w:tc>
      </w:tr>
      <w:tr w14:paraId="2B9CDA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91" w:type="dxa"/>
            <w:vAlign w:val="center"/>
          </w:tcPr>
          <w:p w14:paraId="4384B312">
            <w:pPr>
              <w:pStyle w:val="84"/>
              <w:jc w:val="left"/>
            </w:pPr>
            <w:r>
              <w:t>逐元素 OT 回退（108 / 层）</w:t>
            </w:r>
          </w:p>
        </w:tc>
        <w:tc>
          <w:tcPr>
            <w:tcW w:w="1036" w:type="dxa"/>
            <w:vAlign w:val="center"/>
          </w:tcPr>
          <w:p w14:paraId="4769AD50">
            <w:pPr>
              <w:pStyle w:val="84"/>
              <w:jc w:val="center"/>
            </w:pPr>
            <w:r>
              <w:t>218</w:t>
            </w:r>
          </w:p>
        </w:tc>
        <w:tc>
          <w:tcPr>
            <w:tcW w:w="1814" w:type="dxa"/>
            <w:vAlign w:val="center"/>
          </w:tcPr>
          <w:p w14:paraId="5E626D26">
            <w:pPr>
              <w:pStyle w:val="84"/>
              <w:jc w:val="center"/>
            </w:pPr>
            <w:r>
              <w:t>20,815.7 ms</w:t>
            </w:r>
          </w:p>
        </w:tc>
        <w:tc>
          <w:tcPr>
            <w:tcW w:w="1814" w:type="dxa"/>
            <w:vAlign w:val="center"/>
          </w:tcPr>
          <w:p w14:paraId="370C0F1B">
            <w:pPr>
              <w:pStyle w:val="84"/>
              <w:jc w:val="center"/>
            </w:pPr>
            <w:r>
              <w:t>21,102.2 ms</w:t>
            </w:r>
          </w:p>
        </w:tc>
        <w:tc>
          <w:tcPr>
            <w:tcW w:w="1815" w:type="dxa"/>
            <w:vAlign w:val="center"/>
          </w:tcPr>
          <w:p w14:paraId="7685E4A0">
            <w:pPr>
              <w:pStyle w:val="84"/>
              <w:jc w:val="center"/>
            </w:pPr>
            <w:r>
              <w:t>22,252.1 ms</w:t>
            </w:r>
          </w:p>
        </w:tc>
      </w:tr>
    </w:tbl>
    <w:p w14:paraId="381A5B16">
      <w:pPr>
        <w:pStyle w:val="83"/>
      </w:pPr>
      <w:r>
        <w:t>注：E[</w:t>
      </w:r>
      <w:r>
        <w:rPr>
          <w:i/>
          <w:iCs/>
        </w:rPr>
        <w:t>T</w:t>
      </w:r>
      <w:r>
        <w:t xml:space="preserve">] = </w:t>
      </w:r>
      <w:r>
        <w:rPr>
          <w:i/>
          <w:iCs/>
        </w:rPr>
        <w:t>C</w:t>
      </w:r>
      <w:r>
        <w:t xml:space="preserve"> + </w:t>
      </w:r>
      <w:r>
        <w:rPr>
          <w:i/>
          <w:iCs/>
        </w:rPr>
        <w:t>R</w:t>
      </w:r>
      <w:r>
        <w:t xml:space="preserve">·RTT / (1 − </w:t>
      </w:r>
      <w:r>
        <w:rPr>
          <w:i/>
          <w:iCs/>
        </w:rPr>
        <w:t>p</w:t>
      </w:r>
      <w:r>
        <w:t>)，p95 = E[</w:t>
      </w:r>
      <w:r>
        <w:rPr>
          <w:i/>
          <w:iCs/>
        </w:rPr>
        <w:t>T</w:t>
      </w:r>
      <w:r>
        <w:t>] + 1.645·√(</w:t>
      </w:r>
      <w:r>
        <w:rPr>
          <w:i/>
          <w:iCs/>
        </w:rPr>
        <w:t>R</w:t>
      </w:r>
      <w:r>
        <w:t>·((2</w:t>
      </w:r>
      <w:r>
        <w:rPr>
          <w:i/>
          <w:iCs/>
        </w:rPr>
        <w:t>J</w:t>
      </w:r>
      <w:r>
        <w:t>)</w:t>
      </w:r>
      <w:r>
        <w:rPr>
          <w:vertAlign w:val="superscript"/>
        </w:rPr>
        <w:t>2</w:t>
      </w:r>
      <w:r>
        <w:t>/12 + RTT</w:t>
      </w:r>
      <w:r>
        <w:rPr>
          <w:vertAlign w:val="superscript"/>
        </w:rPr>
        <w:t>2</w:t>
      </w:r>
      <w:r>
        <w:t>·</w:t>
      </w:r>
      <w:r>
        <w:rPr>
          <w:i/>
          <w:iCs/>
        </w:rPr>
        <w:t>p</w:t>
      </w:r>
      <w:r>
        <w:t xml:space="preserve">/(1 − </w:t>
      </w:r>
      <w:r>
        <w:rPr>
          <w:i/>
          <w:iCs/>
        </w:rPr>
        <w:t>p</w:t>
      </w:r>
      <w:r>
        <w:t>)</w:t>
      </w:r>
      <w:r>
        <w:rPr>
          <w:vertAlign w:val="superscript"/>
        </w:rPr>
        <w:t>2</w:t>
      </w:r>
      <w:r>
        <w:t>))；丢包与抖动是模型项，不是 netem 实测。</w:t>
      </w:r>
    </w:p>
    <w:p w14:paraId="6023368F">
      <w:pPr>
        <w:pStyle w:val="3"/>
      </w:pPr>
      <w:r>
        <w:t>把每层往返数控制在常数级（约 6），使 5% 丢包下的 p95 增量保持在 0.25 s 量级；逐元素 OT 则会放大到 20 s 以上。在 0–5% 丢包区间内，planner 的调度决策不变。</w:t>
      </w:r>
    </w:p>
    <w:bookmarkEnd w:id="37"/>
    <w:p w14:paraId="00B3E2CE">
      <w:pPr>
        <w:pStyle w:val="5"/>
      </w:pPr>
      <w:bookmarkStart w:id="38" w:name="planner-effectiveness"/>
      <w:r>
        <w:t>7.5 Planner Effectiveness</w:t>
      </w:r>
    </w:p>
    <w:p w14:paraId="2360923A">
      <w:pPr>
        <w:pStyle w:val="23"/>
      </w:pPr>
      <w:r>
        <w:rPr>
          <w:b/>
          <w:bCs/>
        </w:rPr>
        <w:t>canonical 网络。</w:t>
      </w:r>
      <w:r>
        <w:t xml:space="preserve"> 这里 planner 使用用户给定的精度下限（CIFAR-10 取 58%，即 planner 默认值），以 E1 实测精度和成本模型为输入（RTT = 50 ms）。在该口径下，三个 canonical 网络都选择 </w:t>
      </w:r>
      <w:r>
        <w:rPr>
          <w:i/>
          <w:iCs/>
        </w:rPr>
        <w:t>s</w:t>
      </w:r>
      <w:r>
        <w:t xml:space="preserve"> = 00（表 7-16），因为 </w:t>
      </w:r>
      <w:r>
        <w:rPr>
          <w:i/>
          <w:iCs/>
        </w:rPr>
        <w:t>s</w:t>
      </w:r>
      <w:r>
        <w:t xml:space="preserve"> = 00 已满足精度下限且交互成本最低。若改用 §7.4 的 adaptive 基线（要求不低于最优值 −1 点），CIFAR-10 会选 s = 10（62.80%，表 7-24），两种口径不混用。</w:t>
      </w:r>
    </w:p>
    <w:p w14:paraId="6DCC3BBF">
      <w:pPr>
        <w:pStyle w:val="44"/>
      </w:pPr>
      <w:r>
        <w:t>表 7-16：canonical CIFAR-10 上各策略的选择（成本模型，桌面机，RTT 50 ms，精度下限 58%，baseline 线格式）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705"/>
        <w:gridCol w:w="636"/>
        <w:gridCol w:w="795"/>
        <w:gridCol w:w="1113"/>
        <w:gridCol w:w="795"/>
        <w:gridCol w:w="1113"/>
        <w:gridCol w:w="954"/>
        <w:gridCol w:w="959"/>
      </w:tblGrid>
      <w:tr w14:paraId="1F4D0A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705" w:type="dxa"/>
            <w:vAlign w:val="center"/>
          </w:tcPr>
          <w:p w14:paraId="6A5610B1">
            <w:pPr>
              <w:pStyle w:val="84"/>
              <w:jc w:val="left"/>
            </w:pPr>
            <w:r>
              <w:t>策略</w:t>
            </w:r>
          </w:p>
        </w:tc>
        <w:tc>
          <w:tcPr>
            <w:tcW w:w="636" w:type="dxa"/>
            <w:vAlign w:val="center"/>
          </w:tcPr>
          <w:p w14:paraId="0E1A713F">
            <w:pPr>
              <w:pStyle w:val="84"/>
              <w:jc w:val="center"/>
            </w:pPr>
            <w:r>
              <w:t>调度</w:t>
            </w:r>
          </w:p>
        </w:tc>
        <w:tc>
          <w:tcPr>
            <w:tcW w:w="795" w:type="dxa"/>
            <w:vAlign w:val="center"/>
          </w:tcPr>
          <w:p w14:paraId="367EE550">
            <w:pPr>
              <w:pStyle w:val="84"/>
              <w:jc w:val="center"/>
            </w:pPr>
            <w:r>
              <w:t>精度</w:t>
            </w:r>
          </w:p>
        </w:tc>
        <w:tc>
          <w:tcPr>
            <w:tcW w:w="1113" w:type="dxa"/>
            <w:vAlign w:val="center"/>
          </w:tcPr>
          <w:p w14:paraId="360853BF">
            <w:pPr>
              <w:pStyle w:val="84"/>
              <w:jc w:val="center"/>
            </w:pPr>
            <w:r>
              <w:t>客户端时间</w:t>
            </w:r>
          </w:p>
        </w:tc>
        <w:tc>
          <w:tcPr>
            <w:tcW w:w="795" w:type="dxa"/>
            <w:vAlign w:val="center"/>
          </w:tcPr>
          <w:p w14:paraId="78348D8C">
            <w:pPr>
              <w:pStyle w:val="84"/>
              <w:jc w:val="center"/>
            </w:pPr>
            <w:r>
              <w:t>往返数</w:t>
            </w:r>
          </w:p>
        </w:tc>
        <w:tc>
          <w:tcPr>
            <w:tcW w:w="1113" w:type="dxa"/>
            <w:vAlign w:val="center"/>
          </w:tcPr>
          <w:p w14:paraId="48FC41EE">
            <w:pPr>
              <w:pStyle w:val="84"/>
              <w:jc w:val="center"/>
            </w:pPr>
            <w:r>
              <w:t>端到端延迟</w:t>
            </w:r>
          </w:p>
        </w:tc>
        <w:tc>
          <w:tcPr>
            <w:tcW w:w="954" w:type="dxa"/>
            <w:vAlign w:val="center"/>
          </w:tcPr>
          <w:p w14:paraId="360B343E">
            <w:pPr>
              <w:pStyle w:val="84"/>
              <w:jc w:val="center"/>
            </w:pPr>
            <w:r>
              <w:t>在线字节</w:t>
            </w:r>
          </w:p>
        </w:tc>
        <w:tc>
          <w:tcPr>
            <w:tcW w:w="959" w:type="dxa"/>
            <w:vAlign w:val="center"/>
          </w:tcPr>
          <w:p w14:paraId="3E4A5780">
            <w:pPr>
              <w:pStyle w:val="84"/>
              <w:jc w:val="center"/>
            </w:pPr>
            <w:r>
              <w:t>MPC 元素</w:t>
            </w:r>
          </w:p>
        </w:tc>
      </w:tr>
      <w:tr w14:paraId="04F510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705" w:type="dxa"/>
            <w:vAlign w:val="center"/>
          </w:tcPr>
          <w:p w14:paraId="1E3171E7">
            <w:pPr>
              <w:pStyle w:val="84"/>
              <w:jc w:val="left"/>
            </w:pPr>
            <w:r>
              <w:t>全 P</w:t>
            </w:r>
            <w:r>
              <w:rPr>
                <w:vertAlign w:val="subscript"/>
              </w:rPr>
              <w:t>2</w:t>
            </w:r>
            <w:r>
              <w:t xml:space="preserve"> / rule / greedy / planner（acc_min=58%）</w:t>
            </w:r>
          </w:p>
        </w:tc>
        <w:tc>
          <w:tcPr>
            <w:tcW w:w="636" w:type="dxa"/>
            <w:vAlign w:val="center"/>
          </w:tcPr>
          <w:p w14:paraId="54252ACA">
            <w:pPr>
              <w:pStyle w:val="84"/>
              <w:jc w:val="center"/>
            </w:pPr>
            <w:r>
              <w:t>00</w:t>
            </w:r>
          </w:p>
        </w:tc>
        <w:tc>
          <w:tcPr>
            <w:tcW w:w="795" w:type="dxa"/>
            <w:vAlign w:val="center"/>
          </w:tcPr>
          <w:p w14:paraId="4FF26498">
            <w:pPr>
              <w:pStyle w:val="84"/>
              <w:jc w:val="center"/>
            </w:pPr>
            <w:r>
              <w:t>60.59%</w:t>
            </w:r>
          </w:p>
        </w:tc>
        <w:tc>
          <w:tcPr>
            <w:tcW w:w="1113" w:type="dxa"/>
            <w:vAlign w:val="center"/>
          </w:tcPr>
          <w:p w14:paraId="7BEE9984">
            <w:pPr>
              <w:pStyle w:val="84"/>
              <w:jc w:val="center"/>
            </w:pPr>
            <w:r>
              <w:t>10.2 ms</w:t>
            </w:r>
          </w:p>
        </w:tc>
        <w:tc>
          <w:tcPr>
            <w:tcW w:w="795" w:type="dxa"/>
            <w:vAlign w:val="center"/>
          </w:tcPr>
          <w:p w14:paraId="0D876146">
            <w:pPr>
              <w:pStyle w:val="84"/>
              <w:jc w:val="center"/>
            </w:pPr>
            <w:r>
              <w:t>2.0</w:t>
            </w:r>
          </w:p>
        </w:tc>
        <w:tc>
          <w:tcPr>
            <w:tcW w:w="1113" w:type="dxa"/>
            <w:vAlign w:val="center"/>
          </w:tcPr>
          <w:p w14:paraId="198B7769">
            <w:pPr>
              <w:pStyle w:val="84"/>
              <w:jc w:val="center"/>
            </w:pPr>
            <w:r>
              <w:t>18.06 s</w:t>
            </w:r>
          </w:p>
        </w:tc>
        <w:tc>
          <w:tcPr>
            <w:tcW w:w="954" w:type="dxa"/>
            <w:vAlign w:val="center"/>
          </w:tcPr>
          <w:p w14:paraId="5772B6B4">
            <w:pPr>
              <w:pStyle w:val="84"/>
              <w:jc w:val="center"/>
            </w:pPr>
            <w:r>
              <w:t>1.70 MB</w:t>
            </w:r>
          </w:p>
        </w:tc>
        <w:tc>
          <w:tcPr>
            <w:tcW w:w="959" w:type="dxa"/>
            <w:vAlign w:val="center"/>
          </w:tcPr>
          <w:p w14:paraId="44A5D793">
            <w:pPr>
              <w:pStyle w:val="84"/>
              <w:jc w:val="center"/>
            </w:pPr>
            <w:r>
              <w:t>0</w:t>
            </w:r>
          </w:p>
        </w:tc>
      </w:tr>
      <w:tr w14:paraId="614F63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705" w:type="dxa"/>
            <w:vAlign w:val="center"/>
          </w:tcPr>
          <w:p w14:paraId="73B03C50">
            <w:pPr>
              <w:pStyle w:val="84"/>
              <w:jc w:val="left"/>
            </w:pPr>
            <w:r>
              <w:t>全 ReLU</w:t>
            </w:r>
          </w:p>
        </w:tc>
        <w:tc>
          <w:tcPr>
            <w:tcW w:w="636" w:type="dxa"/>
            <w:vAlign w:val="center"/>
          </w:tcPr>
          <w:p w14:paraId="7619F629">
            <w:pPr>
              <w:pStyle w:val="84"/>
              <w:jc w:val="center"/>
            </w:pPr>
            <w:r>
              <w:t>11</w:t>
            </w:r>
          </w:p>
        </w:tc>
        <w:tc>
          <w:tcPr>
            <w:tcW w:w="795" w:type="dxa"/>
            <w:vAlign w:val="center"/>
          </w:tcPr>
          <w:p w14:paraId="1FC3C2CC">
            <w:pPr>
              <w:pStyle w:val="84"/>
              <w:jc w:val="center"/>
            </w:pPr>
            <w:r>
              <w:t>58.60%</w:t>
            </w:r>
          </w:p>
        </w:tc>
        <w:tc>
          <w:tcPr>
            <w:tcW w:w="1113" w:type="dxa"/>
            <w:vAlign w:val="center"/>
          </w:tcPr>
          <w:p w14:paraId="256C8AE5">
            <w:pPr>
              <w:pStyle w:val="84"/>
              <w:jc w:val="center"/>
            </w:pPr>
            <w:r>
              <w:t>52.3 ms</w:t>
            </w:r>
          </w:p>
        </w:tc>
        <w:tc>
          <w:tcPr>
            <w:tcW w:w="795" w:type="dxa"/>
            <w:vAlign w:val="center"/>
          </w:tcPr>
          <w:p w14:paraId="1FEF5993">
            <w:pPr>
              <w:pStyle w:val="84"/>
              <w:jc w:val="center"/>
            </w:pPr>
            <w:r>
              <w:t>14.05</w:t>
            </w:r>
          </w:p>
        </w:tc>
        <w:tc>
          <w:tcPr>
            <w:tcW w:w="1113" w:type="dxa"/>
            <w:vAlign w:val="center"/>
          </w:tcPr>
          <w:p w14:paraId="1448CFB6">
            <w:pPr>
              <w:pStyle w:val="84"/>
              <w:jc w:val="center"/>
            </w:pPr>
            <w:r>
              <w:t>29.07 s</w:t>
            </w:r>
          </w:p>
        </w:tc>
        <w:tc>
          <w:tcPr>
            <w:tcW w:w="954" w:type="dxa"/>
            <w:vAlign w:val="center"/>
          </w:tcPr>
          <w:p w14:paraId="32C752CA">
            <w:pPr>
              <w:pStyle w:val="84"/>
              <w:jc w:val="center"/>
            </w:pPr>
            <w:r>
              <w:t>5.11 MB</w:t>
            </w:r>
          </w:p>
        </w:tc>
        <w:tc>
          <w:tcPr>
            <w:tcW w:w="959" w:type="dxa"/>
            <w:vAlign w:val="center"/>
          </w:tcPr>
          <w:p w14:paraId="4E0AB12F">
            <w:pPr>
              <w:pStyle w:val="84"/>
              <w:jc w:val="center"/>
            </w:pPr>
            <w:r>
              <w:t>1,328</w:t>
            </w:r>
          </w:p>
        </w:tc>
      </w:tr>
      <w:tr w14:paraId="3182BA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705" w:type="dxa"/>
            <w:vAlign w:val="center"/>
          </w:tcPr>
          <w:p w14:paraId="1F80BEB7">
            <w:pPr>
              <w:pStyle w:val="84"/>
              <w:jc w:val="left"/>
            </w:pPr>
            <w:r>
              <w:t>随机调度（5 次平均）</w:t>
            </w:r>
          </w:p>
        </w:tc>
        <w:tc>
          <w:tcPr>
            <w:tcW w:w="636" w:type="dxa"/>
            <w:vAlign w:val="center"/>
          </w:tcPr>
          <w:p w14:paraId="4A402A33">
            <w:pPr>
              <w:pStyle w:val="84"/>
              <w:jc w:val="center"/>
            </w:pPr>
            <w:r>
              <w:t>—</w:t>
            </w:r>
          </w:p>
        </w:tc>
        <w:tc>
          <w:tcPr>
            <w:tcW w:w="795" w:type="dxa"/>
            <w:vAlign w:val="center"/>
          </w:tcPr>
          <w:p w14:paraId="69B87B56">
            <w:pPr>
              <w:pStyle w:val="84"/>
              <w:jc w:val="center"/>
            </w:pPr>
            <w:r>
              <w:t>61.27%</w:t>
            </w:r>
          </w:p>
        </w:tc>
        <w:tc>
          <w:tcPr>
            <w:tcW w:w="1113" w:type="dxa"/>
            <w:vAlign w:val="center"/>
          </w:tcPr>
          <w:p w14:paraId="2328F883">
            <w:pPr>
              <w:pStyle w:val="84"/>
              <w:jc w:val="center"/>
            </w:pPr>
            <w:r>
              <w:t>36.3 ms</w:t>
            </w:r>
          </w:p>
        </w:tc>
        <w:tc>
          <w:tcPr>
            <w:tcW w:w="795" w:type="dxa"/>
            <w:vAlign w:val="center"/>
          </w:tcPr>
          <w:p w14:paraId="1F745D68">
            <w:pPr>
              <w:pStyle w:val="84"/>
              <w:jc w:val="center"/>
            </w:pPr>
            <w:r>
              <w:t>9.23</w:t>
            </w:r>
          </w:p>
        </w:tc>
        <w:tc>
          <w:tcPr>
            <w:tcW w:w="1113" w:type="dxa"/>
            <w:vAlign w:val="center"/>
          </w:tcPr>
          <w:p w14:paraId="782EB7E8">
            <w:pPr>
              <w:pStyle w:val="84"/>
              <w:jc w:val="center"/>
            </w:pPr>
            <w:r>
              <w:t>26.52 s</w:t>
            </w:r>
          </w:p>
        </w:tc>
        <w:tc>
          <w:tcPr>
            <w:tcW w:w="954" w:type="dxa"/>
            <w:vAlign w:val="center"/>
          </w:tcPr>
          <w:p w14:paraId="3443FDB2">
            <w:pPr>
              <w:pStyle w:val="84"/>
              <w:jc w:val="center"/>
            </w:pPr>
            <w:r>
              <w:t>3.75 MB</w:t>
            </w:r>
          </w:p>
        </w:tc>
        <w:tc>
          <w:tcPr>
            <w:tcW w:w="959" w:type="dxa"/>
            <w:vAlign w:val="center"/>
          </w:tcPr>
          <w:p w14:paraId="7EB188B4">
            <w:pPr>
              <w:pStyle w:val="84"/>
              <w:jc w:val="center"/>
            </w:pPr>
            <w:r>
              <w:t>1,011</w:t>
            </w:r>
          </w:p>
        </w:tc>
      </w:tr>
    </w:tbl>
    <w:p w14:paraId="3F49DD75">
      <w:pPr>
        <w:pStyle w:val="83"/>
      </w:pPr>
      <w:r>
        <w:t xml:space="preserve">注：端到端延迟中服务端前向取 E1 在 101 号容器上的实测值；往返数按端到端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6.025；在线字节为成本模型值（M3 按 L6 密文计，故 </w:t>
      </w:r>
      <w:r>
        <w:rPr>
          <w:i/>
          <w:iCs/>
        </w:rPr>
        <w:t>s</w:t>
      </w:r>
      <w:r>
        <w:t xml:space="preserve"> = 00 为 1.70 MB，略高于表 7-11 的实测 1.18 MB）。MNIST 与 UCI HAR 同样选择 </w:t>
      </w:r>
      <w:r>
        <w:rPr>
          <w:i/>
          <w:iCs/>
        </w:rPr>
        <w:t>s</w:t>
      </w:r>
      <w:r>
        <w:t xml:space="preserve"> = 00。本表按 acc_min = 58% 的 planner 口径；§7.4 的 adaptive 基线（最优值 −1 点）在 CIFAR-10 上选 s = 10，见表 7-24。</w:t>
      </w:r>
    </w:p>
    <w:p w14:paraId="30FE8331">
      <w:pPr>
        <w:pStyle w:val="3"/>
      </w:pPr>
      <w:r>
        <w:rPr>
          <w:b/>
          <w:bCs/>
        </w:rPr>
        <w:t>深层网络（模型预测）。</w:t>
      </w:r>
      <w:r>
        <w:t xml:space="preserve"> 调度的价值需要在更深的网络上体现。表 7-17 给出 5 个非线性层（conv1–conv4、fc1）的 VGG 式网络上，各策略的 planner 输出。其中精度用组合罚项 0.0025·</w:t>
      </w:r>
      <w:r>
        <w:rPr>
          <w:i/>
          <w:iCs/>
        </w:rPr>
        <w:t>k</w:t>
      </w:r>
      <w:r>
        <w:t>(</w:t>
      </w:r>
      <w:r>
        <w:rPr>
          <w:i/>
          <w:iCs/>
        </w:rPr>
        <w:t>k</w:t>
      </w:r>
      <w:r>
        <w:t xml:space="preserve"> − 1)（</w:t>
      </w:r>
      <w:r>
        <w:rPr>
          <w:i/>
          <w:iCs/>
        </w:rPr>
        <w:t>k</w:t>
      </w:r>
      <w:r>
        <w:t xml:space="preserve"> 为 P</w:t>
      </w:r>
      <w:r>
        <w:rPr>
          <w:vertAlign w:val="subscript"/>
        </w:rPr>
        <w:t>2</w:t>
      </w:r>
      <w:r>
        <w:t xml:space="preserve"> 层数）由明文结果外推，服务端成本由 canonical 拟合外推，二者都是模型值。 本表按精度下限 84% 求解。</w:t>
      </w:r>
    </w:p>
    <w:p w14:paraId="2E127871">
      <w:pPr>
        <w:pStyle w:val="44"/>
      </w:pPr>
      <w:r>
        <w:t>表 7-17：VGG 式 CIFAR-10 网络上各策略的调度（模型预测，精度下限 84%，RTT 50 ms）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786"/>
        <w:gridCol w:w="1649"/>
        <w:gridCol w:w="2336"/>
        <w:gridCol w:w="824"/>
        <w:gridCol w:w="687"/>
        <w:gridCol w:w="961"/>
        <w:gridCol w:w="827"/>
      </w:tblGrid>
      <w:tr w14:paraId="112215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786" w:type="dxa"/>
            <w:vAlign w:val="center"/>
          </w:tcPr>
          <w:p w14:paraId="7DF69F98">
            <w:pPr>
              <w:pStyle w:val="84"/>
              <w:jc w:val="left"/>
            </w:pPr>
            <w:r>
              <w:t>策略</w:t>
            </w:r>
          </w:p>
        </w:tc>
        <w:tc>
          <w:tcPr>
            <w:tcW w:w="1649" w:type="dxa"/>
            <w:vAlign w:val="center"/>
          </w:tcPr>
          <w:p w14:paraId="61EB12E0">
            <w:pPr>
              <w:pStyle w:val="84"/>
              <w:jc w:val="center"/>
            </w:pPr>
            <w:r>
              <w:t>调度（conv1–4, fc1）</w:t>
            </w:r>
          </w:p>
        </w:tc>
        <w:tc>
          <w:tcPr>
            <w:tcW w:w="2336" w:type="dxa"/>
            <w:vAlign w:val="center"/>
          </w:tcPr>
          <w:p w14:paraId="46A5CA99">
            <w:pPr>
              <w:pStyle w:val="84"/>
              <w:jc w:val="center"/>
            </w:pPr>
            <w:r>
              <w:t>预测精度</w:t>
            </w:r>
          </w:p>
        </w:tc>
        <w:tc>
          <w:tcPr>
            <w:tcW w:w="824" w:type="dxa"/>
            <w:vAlign w:val="center"/>
          </w:tcPr>
          <w:p w14:paraId="5BEEA60E">
            <w:pPr>
              <w:pStyle w:val="84"/>
              <w:jc w:val="center"/>
            </w:pPr>
            <w:r>
              <w:t>MPC 元素</w:t>
            </w:r>
          </w:p>
        </w:tc>
        <w:tc>
          <w:tcPr>
            <w:tcW w:w="687" w:type="dxa"/>
            <w:vAlign w:val="center"/>
          </w:tcPr>
          <w:p w14:paraId="0BF0DF83">
            <w:pPr>
              <w:pStyle w:val="84"/>
              <w:jc w:val="center"/>
            </w:pPr>
            <w:r>
              <w:t>往返数</w:t>
            </w:r>
          </w:p>
        </w:tc>
        <w:tc>
          <w:tcPr>
            <w:tcW w:w="961" w:type="dxa"/>
            <w:vAlign w:val="center"/>
          </w:tcPr>
          <w:p w14:paraId="781EA481">
            <w:pPr>
              <w:pStyle w:val="84"/>
              <w:jc w:val="center"/>
            </w:pPr>
            <w:r>
              <w:t>端到端延迟</w:t>
            </w:r>
          </w:p>
        </w:tc>
        <w:tc>
          <w:tcPr>
            <w:tcW w:w="827" w:type="dxa"/>
            <w:vAlign w:val="center"/>
          </w:tcPr>
          <w:p w14:paraId="105A9D06">
            <w:pPr>
              <w:pStyle w:val="84"/>
              <w:jc w:val="center"/>
            </w:pPr>
            <w:r>
              <w:t>在线字节</w:t>
            </w:r>
          </w:p>
        </w:tc>
      </w:tr>
      <w:tr w14:paraId="7EC479A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786" w:type="dxa"/>
            <w:vAlign w:val="center"/>
          </w:tcPr>
          <w:p w14:paraId="1662DF92">
            <w:pPr>
              <w:pStyle w:val="84"/>
              <w:jc w:val="left"/>
            </w:pPr>
            <w:r>
              <w:t>全 P</w:t>
            </w:r>
            <w:r>
              <w:rPr>
                <w:vertAlign w:val="subscript"/>
              </w:rPr>
              <w:t>2</w:t>
            </w:r>
          </w:p>
        </w:tc>
        <w:tc>
          <w:tcPr>
            <w:tcW w:w="1649" w:type="dxa"/>
            <w:vAlign w:val="center"/>
          </w:tcPr>
          <w:p w14:paraId="7786F85E">
            <w:pPr>
              <w:pStyle w:val="84"/>
              <w:jc w:val="center"/>
            </w:pPr>
            <w:r>
              <w:t>00000</w:t>
            </w:r>
          </w:p>
        </w:tc>
        <w:tc>
          <w:tcPr>
            <w:tcW w:w="2336" w:type="dxa"/>
            <w:vAlign w:val="center"/>
          </w:tcPr>
          <w:p w14:paraId="6EFED8F2">
            <w:pPr>
              <w:pStyle w:val="84"/>
              <w:jc w:val="center"/>
            </w:pPr>
            <w:r>
              <w:t>82.90%（深度超预算，不可部署）</w:t>
            </w:r>
          </w:p>
        </w:tc>
        <w:tc>
          <w:tcPr>
            <w:tcW w:w="824" w:type="dxa"/>
            <w:vAlign w:val="center"/>
          </w:tcPr>
          <w:p w14:paraId="240BFFA2">
            <w:pPr>
              <w:pStyle w:val="84"/>
              <w:jc w:val="center"/>
            </w:pPr>
            <w:r>
              <w:t>0</w:t>
            </w:r>
          </w:p>
        </w:tc>
        <w:tc>
          <w:tcPr>
            <w:tcW w:w="687" w:type="dxa"/>
            <w:vAlign w:val="center"/>
          </w:tcPr>
          <w:p w14:paraId="63A49C9F">
            <w:pPr>
              <w:pStyle w:val="84"/>
              <w:jc w:val="center"/>
            </w:pPr>
            <w:r>
              <w:t>2.0</w:t>
            </w:r>
          </w:p>
        </w:tc>
        <w:tc>
          <w:tcPr>
            <w:tcW w:w="961" w:type="dxa"/>
            <w:vAlign w:val="center"/>
          </w:tcPr>
          <w:p w14:paraId="79A74E57">
            <w:pPr>
              <w:pStyle w:val="84"/>
              <w:jc w:val="center"/>
            </w:pPr>
            <w:r>
              <w:t>12.64 s</w:t>
            </w:r>
          </w:p>
        </w:tc>
        <w:tc>
          <w:tcPr>
            <w:tcW w:w="827" w:type="dxa"/>
            <w:vAlign w:val="center"/>
          </w:tcPr>
          <w:p w14:paraId="473D3D78">
            <w:pPr>
              <w:pStyle w:val="84"/>
              <w:jc w:val="center"/>
            </w:pPr>
            <w:r>
              <w:t>1.70 MB</w:t>
            </w:r>
          </w:p>
        </w:tc>
      </w:tr>
      <w:tr w14:paraId="62626E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786" w:type="dxa"/>
            <w:vAlign w:val="center"/>
          </w:tcPr>
          <w:p w14:paraId="7858C8F8">
            <w:pPr>
              <w:pStyle w:val="84"/>
              <w:jc w:val="left"/>
            </w:pPr>
            <w:r>
              <w:t>全 ReLU</w:t>
            </w:r>
          </w:p>
        </w:tc>
        <w:tc>
          <w:tcPr>
            <w:tcW w:w="1649" w:type="dxa"/>
            <w:vAlign w:val="center"/>
          </w:tcPr>
          <w:p w14:paraId="6B1EADDC">
            <w:pPr>
              <w:pStyle w:val="84"/>
              <w:jc w:val="center"/>
            </w:pPr>
            <w:r>
              <w:t>11111</w:t>
            </w:r>
          </w:p>
        </w:tc>
        <w:tc>
          <w:tcPr>
            <w:tcW w:w="2336" w:type="dxa"/>
            <w:vAlign w:val="center"/>
          </w:tcPr>
          <w:p w14:paraId="2ACF64E6">
            <w:pPr>
              <w:pStyle w:val="84"/>
              <w:jc w:val="center"/>
            </w:pPr>
            <w:r>
              <w:t>87.90%</w:t>
            </w:r>
          </w:p>
        </w:tc>
        <w:tc>
          <w:tcPr>
            <w:tcW w:w="824" w:type="dxa"/>
            <w:vAlign w:val="center"/>
          </w:tcPr>
          <w:p w14:paraId="710D52DC">
            <w:pPr>
              <w:pStyle w:val="84"/>
              <w:jc w:val="center"/>
            </w:pPr>
            <w:r>
              <w:t>164,096</w:t>
            </w:r>
          </w:p>
        </w:tc>
        <w:tc>
          <w:tcPr>
            <w:tcW w:w="687" w:type="dxa"/>
            <w:vAlign w:val="center"/>
          </w:tcPr>
          <w:p w14:paraId="69F551C7">
            <w:pPr>
              <w:pStyle w:val="84"/>
              <w:jc w:val="center"/>
            </w:pPr>
            <w:r>
              <w:t>32.1</w:t>
            </w:r>
          </w:p>
        </w:tc>
        <w:tc>
          <w:tcPr>
            <w:tcW w:w="961" w:type="dxa"/>
            <w:vAlign w:val="center"/>
          </w:tcPr>
          <w:p w14:paraId="0D57B9EE">
            <w:pPr>
              <w:pStyle w:val="84"/>
              <w:jc w:val="center"/>
            </w:pPr>
            <w:r>
              <w:t>30.31 s</w:t>
            </w:r>
          </w:p>
        </w:tc>
        <w:tc>
          <w:tcPr>
            <w:tcW w:w="827" w:type="dxa"/>
            <w:vAlign w:val="center"/>
          </w:tcPr>
          <w:p w14:paraId="393A5040">
            <w:pPr>
              <w:pStyle w:val="84"/>
              <w:jc w:val="center"/>
            </w:pPr>
            <w:r>
              <w:t>10.23 MB</w:t>
            </w:r>
          </w:p>
        </w:tc>
      </w:tr>
      <w:tr w14:paraId="3CC695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786" w:type="dxa"/>
            <w:vAlign w:val="center"/>
          </w:tcPr>
          <w:p w14:paraId="5445D2C2">
            <w:pPr>
              <w:pStyle w:val="84"/>
              <w:jc w:val="left"/>
            </w:pPr>
            <w:r>
              <w:t>rule / greedy</w:t>
            </w:r>
          </w:p>
        </w:tc>
        <w:tc>
          <w:tcPr>
            <w:tcW w:w="1649" w:type="dxa"/>
            <w:vAlign w:val="center"/>
          </w:tcPr>
          <w:p w14:paraId="239DCCF5">
            <w:pPr>
              <w:pStyle w:val="84"/>
              <w:jc w:val="center"/>
            </w:pPr>
            <w:r>
              <w:t>11001</w:t>
            </w:r>
          </w:p>
        </w:tc>
        <w:tc>
          <w:tcPr>
            <w:tcW w:w="2336" w:type="dxa"/>
            <w:vAlign w:val="center"/>
          </w:tcPr>
          <w:p w14:paraId="1AD7F23C">
            <w:pPr>
              <w:pStyle w:val="84"/>
              <w:jc w:val="center"/>
            </w:pPr>
            <w:r>
              <w:t>87.40%</w:t>
            </w:r>
          </w:p>
        </w:tc>
        <w:tc>
          <w:tcPr>
            <w:tcW w:w="824" w:type="dxa"/>
            <w:vAlign w:val="center"/>
          </w:tcPr>
          <w:p w14:paraId="58FE1FD8">
            <w:pPr>
              <w:pStyle w:val="84"/>
              <w:jc w:val="center"/>
            </w:pPr>
            <w:r>
              <w:t>131,328</w:t>
            </w:r>
          </w:p>
        </w:tc>
        <w:tc>
          <w:tcPr>
            <w:tcW w:w="687" w:type="dxa"/>
            <w:vAlign w:val="center"/>
          </w:tcPr>
          <w:p w14:paraId="4BD9E478">
            <w:pPr>
              <w:pStyle w:val="84"/>
              <w:jc w:val="center"/>
            </w:pPr>
            <w:r>
              <w:t>20.1</w:t>
            </w:r>
          </w:p>
        </w:tc>
        <w:tc>
          <w:tcPr>
            <w:tcW w:w="961" w:type="dxa"/>
            <w:vAlign w:val="center"/>
          </w:tcPr>
          <w:p w14:paraId="3BAE811E">
            <w:pPr>
              <w:pStyle w:val="84"/>
              <w:jc w:val="center"/>
            </w:pPr>
            <w:r>
              <w:t>23.37 s</w:t>
            </w:r>
          </w:p>
        </w:tc>
        <w:tc>
          <w:tcPr>
            <w:tcW w:w="827" w:type="dxa"/>
            <w:vAlign w:val="center"/>
          </w:tcPr>
          <w:p w14:paraId="4292D85E">
            <w:pPr>
              <w:pStyle w:val="84"/>
              <w:jc w:val="center"/>
            </w:pPr>
            <w:r>
              <w:t>6.82 MB</w:t>
            </w:r>
          </w:p>
        </w:tc>
      </w:tr>
      <w:tr w14:paraId="7BEEAD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786" w:type="dxa"/>
            <w:vAlign w:val="center"/>
          </w:tcPr>
          <w:p w14:paraId="1D8A5378">
            <w:pPr>
              <w:pStyle w:val="84"/>
              <w:jc w:val="left"/>
            </w:pPr>
            <w:r>
              <w:rPr>
                <w:b/>
                <w:bCs/>
              </w:rPr>
              <w:t>adaptive</w:t>
            </w:r>
          </w:p>
        </w:tc>
        <w:tc>
          <w:tcPr>
            <w:tcW w:w="1649" w:type="dxa"/>
            <w:vAlign w:val="center"/>
          </w:tcPr>
          <w:p w14:paraId="72225D08">
            <w:pPr>
              <w:pStyle w:val="84"/>
              <w:jc w:val="center"/>
            </w:pPr>
            <w:r>
              <w:rPr>
                <w:b/>
                <w:bCs/>
              </w:rPr>
              <w:t>00100</w:t>
            </w:r>
          </w:p>
        </w:tc>
        <w:tc>
          <w:tcPr>
            <w:tcW w:w="2336" w:type="dxa"/>
            <w:vAlign w:val="center"/>
          </w:tcPr>
          <w:p w14:paraId="6AB4169D">
            <w:pPr>
              <w:pStyle w:val="84"/>
              <w:jc w:val="center"/>
            </w:pPr>
            <w:r>
              <w:t>84.90%</w:t>
            </w:r>
          </w:p>
        </w:tc>
        <w:tc>
          <w:tcPr>
            <w:tcW w:w="824" w:type="dxa"/>
            <w:vAlign w:val="center"/>
          </w:tcPr>
          <w:p w14:paraId="37FE4239">
            <w:pPr>
              <w:pStyle w:val="84"/>
              <w:jc w:val="center"/>
            </w:pPr>
            <w:r>
              <w:rPr>
                <w:b/>
                <w:bCs/>
              </w:rPr>
              <w:t>16,384</w:t>
            </w:r>
          </w:p>
        </w:tc>
        <w:tc>
          <w:tcPr>
            <w:tcW w:w="687" w:type="dxa"/>
            <w:vAlign w:val="center"/>
          </w:tcPr>
          <w:p w14:paraId="581E16BB">
            <w:pPr>
              <w:pStyle w:val="84"/>
              <w:jc w:val="center"/>
            </w:pPr>
            <w:r>
              <w:rPr>
                <w:b/>
                <w:bCs/>
              </w:rPr>
              <w:t>8.0</w:t>
            </w:r>
          </w:p>
        </w:tc>
        <w:tc>
          <w:tcPr>
            <w:tcW w:w="961" w:type="dxa"/>
            <w:vAlign w:val="center"/>
          </w:tcPr>
          <w:p w14:paraId="421DFD2F">
            <w:pPr>
              <w:pStyle w:val="84"/>
              <w:jc w:val="center"/>
            </w:pPr>
            <w:r>
              <w:rPr>
                <w:b/>
                <w:bCs/>
              </w:rPr>
              <w:t>16.11 s</w:t>
            </w:r>
          </w:p>
        </w:tc>
        <w:tc>
          <w:tcPr>
            <w:tcW w:w="827" w:type="dxa"/>
            <w:vAlign w:val="center"/>
          </w:tcPr>
          <w:p w14:paraId="21B2875E">
            <w:pPr>
              <w:pStyle w:val="84"/>
              <w:jc w:val="center"/>
            </w:pPr>
            <w:r>
              <w:rPr>
                <w:b/>
                <w:bCs/>
              </w:rPr>
              <w:t>3.41 MB</w:t>
            </w:r>
          </w:p>
        </w:tc>
      </w:tr>
      <w:tr w14:paraId="23BB17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786" w:type="dxa"/>
            <w:vAlign w:val="center"/>
          </w:tcPr>
          <w:p w14:paraId="64B633FA">
            <w:pPr>
              <w:pStyle w:val="84"/>
              <w:jc w:val="left"/>
            </w:pPr>
            <w:r>
              <w:t>adaptive（当前可执行）</w:t>
            </w:r>
          </w:p>
        </w:tc>
        <w:tc>
          <w:tcPr>
            <w:tcW w:w="1649" w:type="dxa"/>
            <w:vAlign w:val="center"/>
          </w:tcPr>
          <w:p w14:paraId="4910E3BD">
            <w:pPr>
              <w:pStyle w:val="84"/>
              <w:jc w:val="center"/>
            </w:pPr>
            <w:r>
              <w:t>11100</w:t>
            </w:r>
          </w:p>
        </w:tc>
        <w:tc>
          <w:tcPr>
            <w:tcW w:w="2336" w:type="dxa"/>
            <w:vAlign w:val="center"/>
          </w:tcPr>
          <w:p w14:paraId="1B70A4FB">
            <w:pPr>
              <w:pStyle w:val="84"/>
              <w:jc w:val="center"/>
            </w:pPr>
            <w:r>
              <w:t>87.40%</w:t>
            </w:r>
          </w:p>
        </w:tc>
        <w:tc>
          <w:tcPr>
            <w:tcW w:w="824" w:type="dxa"/>
            <w:vAlign w:val="center"/>
          </w:tcPr>
          <w:p w14:paraId="45FDF0A3">
            <w:pPr>
              <w:pStyle w:val="84"/>
              <w:jc w:val="center"/>
            </w:pPr>
            <w:r>
              <w:t>147,456</w:t>
            </w:r>
          </w:p>
        </w:tc>
        <w:tc>
          <w:tcPr>
            <w:tcW w:w="687" w:type="dxa"/>
            <w:vAlign w:val="center"/>
          </w:tcPr>
          <w:p w14:paraId="1FC449AD">
            <w:pPr>
              <w:pStyle w:val="84"/>
              <w:jc w:val="center"/>
            </w:pPr>
            <w:r>
              <w:t>20.1</w:t>
            </w:r>
          </w:p>
        </w:tc>
        <w:tc>
          <w:tcPr>
            <w:tcW w:w="961" w:type="dxa"/>
            <w:vAlign w:val="center"/>
          </w:tcPr>
          <w:p w14:paraId="00631C47">
            <w:pPr>
              <w:pStyle w:val="84"/>
              <w:jc w:val="center"/>
            </w:pPr>
            <w:r>
              <w:t>23.43 s</w:t>
            </w:r>
          </w:p>
        </w:tc>
        <w:tc>
          <w:tcPr>
            <w:tcW w:w="827" w:type="dxa"/>
            <w:vAlign w:val="center"/>
          </w:tcPr>
          <w:p w14:paraId="42009294">
            <w:pPr>
              <w:pStyle w:val="84"/>
              <w:jc w:val="center"/>
            </w:pPr>
            <w:r>
              <w:t>6.82 MB</w:t>
            </w:r>
          </w:p>
        </w:tc>
      </w:tr>
    </w:tbl>
    <w:p w14:paraId="45C225EB">
      <w:pPr>
        <w:pStyle w:val="83"/>
      </w:pPr>
      <w:r>
        <w:t>注：“当前可执行”要求卷积前的非线性层都走 Hybrid，因为 P</w:t>
      </w:r>
      <w:r>
        <w:rPr>
          <w:vertAlign w:val="subscript"/>
        </w:rPr>
        <w:t>2</w:t>
      </w:r>
      <w:r>
        <w:t xml:space="preserve"> → 卷积的密文实现尚未完成；adaptive 选出的 00100 依赖这一尚未实现的功能。表中“精度下限 84%”是约束值，不是实测精度。全 ReLU 基准采用五种子复测值 87.90 ± 0.29%（表 7-6），其余行按同一组合罚项由该基准外推。</w:t>
      </w:r>
    </w:p>
    <w:p w14:paraId="167E8147">
      <w:pPr>
        <w:pStyle w:val="3"/>
      </w:pPr>
      <w:r>
        <w:t>在精度约束下，adaptive 选出的 00100 把 MPC 元素减少 90%（164,096 → 16,384），端到端延迟（模型）从 30.3 s 降到 16.1 s。我们在 fast 结构（同样 5 个非线性层）上实测验证了一次 planner 的选择：约束 Acc</w:t>
      </w:r>
      <w:r>
        <w:rPr>
          <w:vertAlign w:val="subscript"/>
        </w:rPr>
        <w:t>min</w:t>
      </w:r>
      <w:r>
        <w:t xml:space="preserve"> = 82% 时 planner 选择只有 conv3 走 ReLU 的调度，预测精度 82.09%，实际训练得到 82.87%（seed 73，单种子），MPC 元素比全 ReLU 少 80.2%（20,736 → 4,096）。深层网络上 planner 的多种子验证与密文实测【待补】。</w:t>
      </w:r>
    </w:p>
    <w:bookmarkEnd w:id="38"/>
    <w:p w14:paraId="438540CE">
      <w:pPr>
        <w:pStyle w:val="5"/>
      </w:pPr>
      <w:bookmarkStart w:id="39" w:name="ablation-study"/>
      <w:r>
        <w:t>7.6 Ablation Study</w:t>
      </w:r>
    </w:p>
    <w:p w14:paraId="45BBFED6">
      <w:pPr>
        <w:pStyle w:val="23"/>
      </w:pPr>
      <w:r>
        <w:rPr>
          <w:b/>
          <w:bCs/>
        </w:rPr>
        <w:t>（1）事后替换 vs 按调度重训。</w:t>
      </w:r>
      <w:r>
        <w:t xml:space="preserve"> 如果直接把 ReLU 孪生网中的激活替换为 P</w:t>
      </w:r>
      <w:r>
        <w:rPr>
          <w:vertAlign w:val="subscript"/>
        </w:rPr>
        <w:t>2</w:t>
      </w:r>
      <w:r>
        <w:t>，就可以用一套权重服务所有调度。表 7-18 表明这条路不可行。</w:t>
      </w:r>
    </w:p>
    <w:p w14:paraId="1758EED8">
      <w:pPr>
        <w:pStyle w:val="44"/>
      </w:pPr>
      <w:r>
        <w:t>表 7-18：ReLU 孪生网（</w:t>
      </w:r>
      <w:r>
        <w:rPr>
          <w:i/>
          <w:iCs/>
        </w:rPr>
        <w:t>s</w:t>
      </w:r>
      <w:r>
        <w:t xml:space="preserve"> = 11 权重）直接替换为 P</w:t>
      </w:r>
      <w:r>
        <w:rPr>
          <w:vertAlign w:val="subscript"/>
        </w:rPr>
        <w:t>2</w:t>
      </w:r>
      <w:r>
        <w:t xml:space="preserve"> 后的明文精度（完整测试集，5 种子，单位 %）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255"/>
        <w:gridCol w:w="1976"/>
        <w:gridCol w:w="1860"/>
        <w:gridCol w:w="1979"/>
      </w:tblGrid>
      <w:tr w14:paraId="5CD0C3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255" w:type="dxa"/>
            <w:vAlign w:val="center"/>
          </w:tcPr>
          <w:p w14:paraId="27EB815F">
            <w:pPr>
              <w:pStyle w:val="84"/>
              <w:jc w:val="left"/>
            </w:pPr>
            <w:r>
              <w:t>激活组合</w:t>
            </w:r>
          </w:p>
        </w:tc>
        <w:tc>
          <w:tcPr>
            <w:tcW w:w="1976" w:type="dxa"/>
            <w:vAlign w:val="center"/>
          </w:tcPr>
          <w:p w14:paraId="1F650DE6">
            <w:pPr>
              <w:pStyle w:val="84"/>
              <w:jc w:val="center"/>
            </w:pPr>
            <w:r>
              <w:t>MNIST</w:t>
            </w:r>
          </w:p>
        </w:tc>
        <w:tc>
          <w:tcPr>
            <w:tcW w:w="1860" w:type="dxa"/>
            <w:vAlign w:val="center"/>
          </w:tcPr>
          <w:p w14:paraId="02BA68BC">
            <w:pPr>
              <w:pStyle w:val="84"/>
              <w:jc w:val="center"/>
            </w:pPr>
            <w:r>
              <w:t>CIFAR-10</w:t>
            </w:r>
          </w:p>
        </w:tc>
        <w:tc>
          <w:tcPr>
            <w:tcW w:w="1979" w:type="dxa"/>
            <w:vAlign w:val="center"/>
          </w:tcPr>
          <w:p w14:paraId="71DCC77D">
            <w:pPr>
              <w:pStyle w:val="84"/>
              <w:jc w:val="center"/>
            </w:pPr>
            <w:r>
              <w:t>UCI HAR</w:t>
            </w:r>
          </w:p>
        </w:tc>
      </w:tr>
      <w:tr w14:paraId="09BD16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55" w:type="dxa"/>
            <w:vAlign w:val="center"/>
          </w:tcPr>
          <w:p w14:paraId="7846D4A6">
            <w:pPr>
              <w:pStyle w:val="84"/>
              <w:jc w:val="left"/>
            </w:pPr>
            <w:r>
              <w:t>ReLU / ReLU（孪生基线）</w:t>
            </w:r>
          </w:p>
        </w:tc>
        <w:tc>
          <w:tcPr>
            <w:tcW w:w="1976" w:type="dxa"/>
            <w:vAlign w:val="center"/>
          </w:tcPr>
          <w:p w14:paraId="5FBCCD0C">
            <w:pPr>
              <w:pStyle w:val="84"/>
              <w:jc w:val="center"/>
            </w:pPr>
            <w:r>
              <w:t>97.71 ± 0.09</w:t>
            </w:r>
          </w:p>
        </w:tc>
        <w:tc>
          <w:tcPr>
            <w:tcW w:w="1860" w:type="dxa"/>
            <w:vAlign w:val="center"/>
          </w:tcPr>
          <w:p w14:paraId="6F1C36CF">
            <w:pPr>
              <w:pStyle w:val="84"/>
              <w:jc w:val="center"/>
            </w:pPr>
            <w:r>
              <w:t>58.60 ± 0.46</w:t>
            </w:r>
          </w:p>
        </w:tc>
        <w:tc>
          <w:tcPr>
            <w:tcW w:w="1979" w:type="dxa"/>
            <w:vAlign w:val="center"/>
          </w:tcPr>
          <w:p w14:paraId="3ADE3E9B">
            <w:pPr>
              <w:pStyle w:val="84"/>
              <w:jc w:val="center"/>
            </w:pPr>
            <w:r>
              <w:t>89.75 ± 0.99</w:t>
            </w:r>
          </w:p>
        </w:tc>
      </w:tr>
      <w:tr w14:paraId="2ED830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55" w:type="dxa"/>
            <w:vAlign w:val="center"/>
          </w:tcPr>
          <w:p w14:paraId="7509AB2C">
            <w:pPr>
              <w:pStyle w:val="84"/>
              <w:jc w:val="left"/>
            </w:pPr>
            <w:r>
              <w:t>ReLU / P</w:t>
            </w:r>
            <w:r>
              <w:rPr>
                <w:vertAlign w:val="subscript"/>
              </w:rPr>
              <w:t>2</w:t>
            </w:r>
            <w:r>
              <w:t>（只换第 2 层）</w:t>
            </w:r>
          </w:p>
        </w:tc>
        <w:tc>
          <w:tcPr>
            <w:tcW w:w="1976" w:type="dxa"/>
            <w:vAlign w:val="center"/>
          </w:tcPr>
          <w:p w14:paraId="555A5D5E">
            <w:pPr>
              <w:pStyle w:val="84"/>
              <w:jc w:val="center"/>
            </w:pPr>
            <w:r>
              <w:t>81.22 ± 6.88</w:t>
            </w:r>
          </w:p>
        </w:tc>
        <w:tc>
          <w:tcPr>
            <w:tcW w:w="1860" w:type="dxa"/>
            <w:vAlign w:val="center"/>
          </w:tcPr>
          <w:p w14:paraId="7AFE4E0A">
            <w:pPr>
              <w:pStyle w:val="84"/>
              <w:jc w:val="center"/>
            </w:pPr>
            <w:r>
              <w:t>48.15 ± 1.16</w:t>
            </w:r>
          </w:p>
        </w:tc>
        <w:tc>
          <w:tcPr>
            <w:tcW w:w="1979" w:type="dxa"/>
            <w:vAlign w:val="center"/>
          </w:tcPr>
          <w:p w14:paraId="3F278B2A">
            <w:pPr>
              <w:pStyle w:val="84"/>
              <w:jc w:val="center"/>
            </w:pPr>
            <w:r>
              <w:t>84.74 ± 1.42</w:t>
            </w:r>
          </w:p>
        </w:tc>
      </w:tr>
      <w:tr w14:paraId="63102E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55" w:type="dxa"/>
            <w:vAlign w:val="center"/>
          </w:tcPr>
          <w:p w14:paraId="0375098B">
            <w:pPr>
              <w:pStyle w:val="84"/>
              <w:jc w:val="left"/>
            </w:pPr>
            <w:r>
              <w:t>P</w:t>
            </w:r>
            <w:r>
              <w:rPr>
                <w:vertAlign w:val="subscript"/>
              </w:rPr>
              <w:t>2</w:t>
            </w:r>
            <w:r>
              <w:t xml:space="preserve"> / ReLU（只换第 1 层）</w:t>
            </w:r>
          </w:p>
        </w:tc>
        <w:tc>
          <w:tcPr>
            <w:tcW w:w="1976" w:type="dxa"/>
            <w:vAlign w:val="center"/>
          </w:tcPr>
          <w:p w14:paraId="7831AAB1">
            <w:pPr>
              <w:pStyle w:val="84"/>
              <w:jc w:val="center"/>
            </w:pPr>
            <w:r>
              <w:t>51.59 ± 16.25</w:t>
            </w:r>
          </w:p>
        </w:tc>
        <w:tc>
          <w:tcPr>
            <w:tcW w:w="1860" w:type="dxa"/>
            <w:vAlign w:val="center"/>
          </w:tcPr>
          <w:p w14:paraId="5A39978C">
            <w:pPr>
              <w:pStyle w:val="84"/>
              <w:jc w:val="center"/>
            </w:pPr>
            <w:r>
              <w:t>23.42 ± 1.52</w:t>
            </w:r>
          </w:p>
        </w:tc>
        <w:tc>
          <w:tcPr>
            <w:tcW w:w="1979" w:type="dxa"/>
            <w:vAlign w:val="center"/>
          </w:tcPr>
          <w:p w14:paraId="6313D975">
            <w:pPr>
              <w:pStyle w:val="84"/>
              <w:jc w:val="center"/>
            </w:pPr>
            <w:r>
              <w:t>63.70 ± 9.17</w:t>
            </w:r>
          </w:p>
        </w:tc>
      </w:tr>
      <w:tr w14:paraId="442ECB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55" w:type="dxa"/>
            <w:vAlign w:val="center"/>
          </w:tcPr>
          <w:p w14:paraId="21031663">
            <w:pPr>
              <w:pStyle w:val="84"/>
              <w:jc w:val="left"/>
            </w:pPr>
            <w:r>
              <w:t>P</w:t>
            </w:r>
            <w:r>
              <w:rPr>
                <w:vertAlign w:val="subscript"/>
              </w:rPr>
              <w:t>2</w:t>
            </w:r>
            <w:r>
              <w:t xml:space="preserve"> / P</w:t>
            </w:r>
            <w:r>
              <w:rPr>
                <w:vertAlign w:val="subscript"/>
              </w:rPr>
              <w:t>2</w:t>
            </w:r>
            <w:r>
              <w:t>（两层全换）</w:t>
            </w:r>
          </w:p>
        </w:tc>
        <w:tc>
          <w:tcPr>
            <w:tcW w:w="1976" w:type="dxa"/>
            <w:vAlign w:val="center"/>
          </w:tcPr>
          <w:p w14:paraId="3FF9963B">
            <w:pPr>
              <w:pStyle w:val="84"/>
              <w:jc w:val="center"/>
            </w:pPr>
            <w:r>
              <w:t>31.65 ± 9.55</w:t>
            </w:r>
          </w:p>
        </w:tc>
        <w:tc>
          <w:tcPr>
            <w:tcW w:w="1860" w:type="dxa"/>
            <w:vAlign w:val="center"/>
          </w:tcPr>
          <w:p w14:paraId="27E1AE35">
            <w:pPr>
              <w:pStyle w:val="84"/>
              <w:jc w:val="center"/>
            </w:pPr>
            <w:r>
              <w:t>14.43 ± 1.12</w:t>
            </w:r>
          </w:p>
        </w:tc>
        <w:tc>
          <w:tcPr>
            <w:tcW w:w="1979" w:type="dxa"/>
            <w:vAlign w:val="center"/>
          </w:tcPr>
          <w:p w14:paraId="7CA1EA7C">
            <w:pPr>
              <w:pStyle w:val="84"/>
              <w:jc w:val="center"/>
            </w:pPr>
            <w:r>
              <w:t>53.59 ± 14.55</w:t>
            </w:r>
          </w:p>
        </w:tc>
      </w:tr>
      <w:tr w14:paraId="453D14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55" w:type="dxa"/>
            <w:vAlign w:val="center"/>
          </w:tcPr>
          <w:p w14:paraId="6B4B51D2">
            <w:pPr>
              <w:pStyle w:val="84"/>
              <w:jc w:val="left"/>
            </w:pPr>
            <w:r>
              <w:t xml:space="preserve">对照：按 </w:t>
            </w:r>
            <w:r>
              <w:rPr>
                <w:i/>
                <w:iCs/>
              </w:rPr>
              <w:t>s</w:t>
            </w:r>
            <w:r>
              <w:t xml:space="preserve"> = 00 重训</w:t>
            </w:r>
          </w:p>
        </w:tc>
        <w:tc>
          <w:tcPr>
            <w:tcW w:w="1976" w:type="dxa"/>
            <w:vAlign w:val="center"/>
          </w:tcPr>
          <w:p w14:paraId="12DFA2BA">
            <w:pPr>
              <w:pStyle w:val="84"/>
              <w:jc w:val="center"/>
            </w:pPr>
            <w:r>
              <w:t>97.97 ± 0.29</w:t>
            </w:r>
          </w:p>
        </w:tc>
        <w:tc>
          <w:tcPr>
            <w:tcW w:w="1860" w:type="dxa"/>
            <w:vAlign w:val="center"/>
          </w:tcPr>
          <w:p w14:paraId="3216F3E9">
            <w:pPr>
              <w:pStyle w:val="84"/>
              <w:jc w:val="center"/>
            </w:pPr>
            <w:r>
              <w:t>60.59 ± 0.49</w:t>
            </w:r>
          </w:p>
        </w:tc>
        <w:tc>
          <w:tcPr>
            <w:tcW w:w="1979" w:type="dxa"/>
            <w:vAlign w:val="center"/>
          </w:tcPr>
          <w:p w14:paraId="55DDA2C4">
            <w:pPr>
              <w:pStyle w:val="84"/>
              <w:jc w:val="center"/>
            </w:pPr>
            <w:r>
              <w:t>90.34 ± 0.93</w:t>
            </w:r>
          </w:p>
        </w:tc>
      </w:tr>
    </w:tbl>
    <w:p w14:paraId="093A545B">
      <w:pPr>
        <w:pStyle w:val="3"/>
      </w:pPr>
      <w:r>
        <w:t>P</w:t>
      </w:r>
      <w:r>
        <w:rPr>
          <w:vertAlign w:val="subscript"/>
        </w:rPr>
        <w:t>2</w:t>
      </w:r>
      <w:r>
        <w:t xml:space="preserve"> 只在 </w:t>
      </w:r>
      <w:r>
        <w:rPr>
          <w:i/>
          <w:iCs/>
        </w:rPr>
        <w:t>z</w:t>
      </w:r>
      <w:r>
        <w:t xml:space="preserve"> ∈ [−1, 1] 量级内近似 ReLU，而 ReLU 训练出的预激活远超这一区间：P</w:t>
      </w:r>
      <w:r>
        <w:rPr>
          <w:vertAlign w:val="subscript"/>
        </w:rPr>
        <w:t>2</w:t>
      </w:r>
      <w:r>
        <w:t>(−5) = 10.06，ReLU(−5) = 0。直接替换的损失因此不是近似误差，而是适用域失配：第 1 层（卷积输出，动态范围大）替换后损失 26–46 个百分点，两层全换后接近不可用。按调度重训则把预激活压在 P</w:t>
      </w:r>
      <w:r>
        <w:rPr>
          <w:vertAlign w:val="subscript"/>
        </w:rPr>
        <w:t>2</w:t>
      </w:r>
      <w:r>
        <w:t xml:space="preserve"> 的适用域内，精度不降反升。因此调度必须在训练期确定，planner 是在“已训练的模型族”上做选择。</w:t>
      </w:r>
    </w:p>
    <w:p w14:paraId="07AD59B2">
      <w:pPr>
        <w:pStyle w:val="3"/>
      </w:pPr>
      <w:r>
        <w:rPr>
          <w:b/>
          <w:bCs/>
        </w:rPr>
        <w:t>（2）掩码规则 M1 与 M2。</w:t>
      </w:r>
      <w:r>
        <w:t xml:space="preserve"> 我们模拟违反 M1、在多次查询间复用同一掩码的服务器，让半诚实客户端用两次查询的掩码值之差恢复激活差，并与新鲜掩码对照（表 7-19）。</w:t>
      </w:r>
    </w:p>
    <w:p w14:paraId="53ACD0F3">
      <w:pPr>
        <w:pStyle w:val="44"/>
      </w:pPr>
      <w:r>
        <w:t>表 7-19：掩码复用与新鲜掩码下的激活泄漏（第 1 层，5 种子）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800"/>
        <w:gridCol w:w="1467"/>
        <w:gridCol w:w="2267"/>
        <w:gridCol w:w="2267"/>
        <w:gridCol w:w="2269"/>
      </w:tblGrid>
      <w:tr w14:paraId="1B2C2C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800" w:type="dxa"/>
            <w:vAlign w:val="center"/>
          </w:tcPr>
          <w:p w14:paraId="6D8686FE">
            <w:pPr>
              <w:pStyle w:val="84"/>
              <w:jc w:val="left"/>
            </w:pPr>
            <w:r>
              <w:t>数据集</w:t>
            </w:r>
          </w:p>
        </w:tc>
        <w:tc>
          <w:tcPr>
            <w:tcW w:w="1467" w:type="dxa"/>
            <w:vAlign w:val="center"/>
          </w:tcPr>
          <w:p w14:paraId="25B2360E">
            <w:pPr>
              <w:pStyle w:val="84"/>
              <w:jc w:val="center"/>
            </w:pPr>
            <w:r>
              <w:t>复用掩码：恢复残差</w:t>
            </w:r>
          </w:p>
        </w:tc>
        <w:tc>
          <w:tcPr>
            <w:tcW w:w="2267" w:type="dxa"/>
            <w:vAlign w:val="center"/>
          </w:tcPr>
          <w:p w14:paraId="49CF4BA5">
            <w:pPr>
              <w:pStyle w:val="84"/>
              <w:jc w:val="center"/>
            </w:pPr>
            <w:r>
              <w:t>新鲜掩码（M2 v2）：单次查询相关系数</w:t>
            </w:r>
          </w:p>
        </w:tc>
        <w:tc>
          <w:tcPr>
            <w:tcW w:w="2267" w:type="dxa"/>
            <w:vAlign w:val="center"/>
          </w:tcPr>
          <w:p w14:paraId="0481588B">
            <w:pPr>
              <w:pStyle w:val="84"/>
              <w:jc w:val="center"/>
            </w:pPr>
            <w:r>
              <w:t>新鲜掩码（M2 v2）：符号猜测命中率</w:t>
            </w:r>
          </w:p>
        </w:tc>
        <w:tc>
          <w:tcPr>
            <w:tcW w:w="2269" w:type="dxa"/>
            <w:vAlign w:val="center"/>
          </w:tcPr>
          <w:p w14:paraId="0D3E661D">
            <w:pPr>
              <w:pStyle w:val="84"/>
              <w:jc w:val="center"/>
            </w:pPr>
            <w:r>
              <w:t>新鲜掩码（旧窄域 v1）：相关系数 / 命中率</w:t>
            </w:r>
          </w:p>
        </w:tc>
      </w:tr>
      <w:tr w14:paraId="4B7593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00" w:type="dxa"/>
            <w:vAlign w:val="center"/>
          </w:tcPr>
          <w:p w14:paraId="2BC46B33">
            <w:pPr>
              <w:pStyle w:val="84"/>
              <w:jc w:val="left"/>
            </w:pPr>
            <w:r>
              <w:t>MNIST</w:t>
            </w:r>
          </w:p>
        </w:tc>
        <w:tc>
          <w:tcPr>
            <w:tcW w:w="1467" w:type="dxa"/>
            <w:vAlign w:val="center"/>
          </w:tcPr>
          <w:p w14:paraId="1C1E7810">
            <w:pPr>
              <w:pStyle w:val="84"/>
              <w:jc w:val="center"/>
            </w:pPr>
            <w:r>
              <w:t>4.7×10⁻⁹</w:t>
            </w:r>
          </w:p>
        </w:tc>
        <w:tc>
          <w:tcPr>
            <w:tcW w:w="2267" w:type="dxa"/>
            <w:vAlign w:val="center"/>
          </w:tcPr>
          <w:p w14:paraId="6273F407">
            <w:pPr>
              <w:pStyle w:val="84"/>
              <w:jc w:val="center"/>
            </w:pPr>
            <w:r>
              <w:t>0.0015 ± 0.0062</w:t>
            </w:r>
          </w:p>
        </w:tc>
        <w:tc>
          <w:tcPr>
            <w:tcW w:w="2267" w:type="dxa"/>
            <w:vAlign w:val="center"/>
          </w:tcPr>
          <w:p w14:paraId="00120B47">
            <w:pPr>
              <w:pStyle w:val="84"/>
              <w:jc w:val="center"/>
            </w:pPr>
            <w:r>
              <w:t>50.00%</w:t>
            </w:r>
          </w:p>
        </w:tc>
        <w:tc>
          <w:tcPr>
            <w:tcW w:w="2269" w:type="dxa"/>
            <w:vAlign w:val="center"/>
          </w:tcPr>
          <w:p w14:paraId="24213637">
            <w:pPr>
              <w:pStyle w:val="84"/>
              <w:jc w:val="center"/>
            </w:pPr>
            <w:r>
              <w:t>0.275 / 54.0%</w:t>
            </w:r>
          </w:p>
        </w:tc>
      </w:tr>
      <w:tr w14:paraId="0E2E9A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00" w:type="dxa"/>
            <w:vAlign w:val="center"/>
          </w:tcPr>
          <w:p w14:paraId="0887ACAC">
            <w:pPr>
              <w:pStyle w:val="84"/>
              <w:jc w:val="left"/>
            </w:pPr>
            <w:r>
              <w:t>CIFAR-10</w:t>
            </w:r>
          </w:p>
        </w:tc>
        <w:tc>
          <w:tcPr>
            <w:tcW w:w="1467" w:type="dxa"/>
            <w:vAlign w:val="center"/>
          </w:tcPr>
          <w:p w14:paraId="2EF43463">
            <w:pPr>
              <w:pStyle w:val="84"/>
              <w:jc w:val="center"/>
            </w:pPr>
            <w:r>
              <w:t>2.2×10⁻⁸</w:t>
            </w:r>
          </w:p>
        </w:tc>
        <w:tc>
          <w:tcPr>
            <w:tcW w:w="2267" w:type="dxa"/>
            <w:vAlign w:val="center"/>
          </w:tcPr>
          <w:p w14:paraId="0BEDEF73">
            <w:pPr>
              <w:pStyle w:val="84"/>
              <w:jc w:val="center"/>
            </w:pPr>
            <w:r>
              <w:t>0.0001 ± 0.0019</w:t>
            </w:r>
          </w:p>
        </w:tc>
        <w:tc>
          <w:tcPr>
            <w:tcW w:w="2267" w:type="dxa"/>
            <w:vAlign w:val="center"/>
          </w:tcPr>
          <w:p w14:paraId="3E850552">
            <w:pPr>
              <w:pStyle w:val="84"/>
              <w:jc w:val="center"/>
            </w:pPr>
            <w:r>
              <w:t>49.99%</w:t>
            </w:r>
          </w:p>
        </w:tc>
        <w:tc>
          <w:tcPr>
            <w:tcW w:w="2269" w:type="dxa"/>
            <w:vAlign w:val="center"/>
          </w:tcPr>
          <w:p w14:paraId="4ACC8954">
            <w:pPr>
              <w:pStyle w:val="84"/>
              <w:jc w:val="center"/>
            </w:pPr>
            <w:r>
              <w:t>0.205 / 54.5%</w:t>
            </w:r>
          </w:p>
        </w:tc>
      </w:tr>
      <w:tr w14:paraId="2A3CD0A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00" w:type="dxa"/>
            <w:vAlign w:val="center"/>
          </w:tcPr>
          <w:p w14:paraId="242235DB">
            <w:pPr>
              <w:pStyle w:val="84"/>
              <w:jc w:val="left"/>
            </w:pPr>
            <w:r>
              <w:t>UCI HAR</w:t>
            </w:r>
          </w:p>
        </w:tc>
        <w:tc>
          <w:tcPr>
            <w:tcW w:w="1467" w:type="dxa"/>
            <w:vAlign w:val="center"/>
          </w:tcPr>
          <w:p w14:paraId="61976267">
            <w:pPr>
              <w:pStyle w:val="84"/>
              <w:jc w:val="center"/>
            </w:pPr>
            <w:r>
              <w:t>2.6×10⁻⁸</w:t>
            </w:r>
          </w:p>
        </w:tc>
        <w:tc>
          <w:tcPr>
            <w:tcW w:w="2267" w:type="dxa"/>
            <w:vAlign w:val="center"/>
          </w:tcPr>
          <w:p w14:paraId="06ECB7E3">
            <w:pPr>
              <w:pStyle w:val="84"/>
              <w:jc w:val="center"/>
            </w:pPr>
            <w:r>
              <w:t>0.0000 ± 0.0025</w:t>
            </w:r>
          </w:p>
        </w:tc>
        <w:tc>
          <w:tcPr>
            <w:tcW w:w="2267" w:type="dxa"/>
            <w:vAlign w:val="center"/>
          </w:tcPr>
          <w:p w14:paraId="69ED293D">
            <w:pPr>
              <w:pStyle w:val="84"/>
              <w:jc w:val="center"/>
            </w:pPr>
            <w:r>
              <w:t>50.01%</w:t>
            </w:r>
          </w:p>
        </w:tc>
        <w:tc>
          <w:tcPr>
            <w:tcW w:w="2269" w:type="dxa"/>
            <w:vAlign w:val="center"/>
          </w:tcPr>
          <w:p w14:paraId="17772AF2">
            <w:pPr>
              <w:pStyle w:val="84"/>
              <w:jc w:val="center"/>
            </w:pPr>
            <w:r>
              <w:t>0.222 / 54.6%</w:t>
            </w:r>
          </w:p>
        </w:tc>
      </w:tr>
    </w:tbl>
    <w:p w14:paraId="08AE4A48">
      <w:pPr>
        <w:pStyle w:val="83"/>
      </w:pPr>
      <w:r>
        <w:t>注：复用残差处于 2</w:t>
      </w:r>
      <w:r>
        <w:rPr>
          <w:vertAlign w:val="superscript"/>
        </w:rPr>
        <w:t>42</w:t>
      </w:r>
      <w:r>
        <w:t xml:space="preserve"> 量级掩码下的 float64 精度，即激活差被完全恢复。M2 v2 的掩码域为 [−</w:t>
      </w:r>
      <w:r>
        <w:rPr>
          <w:i/>
          <w:iCs/>
        </w:rPr>
        <w:t>A</w:t>
      </w:r>
      <w:r>
        <w:rPr>
          <w:vertAlign w:val="subscript"/>
        </w:rPr>
        <w:t>k</w:t>
      </w:r>
      <w:r>
        <w:t xml:space="preserve">, </w:t>
      </w:r>
      <w:r>
        <w:rPr>
          <w:i/>
          <w:iCs/>
        </w:rPr>
        <w:t>A</w:t>
      </w:r>
      <w:r>
        <w:rPr>
          <w:vertAlign w:val="subscript"/>
        </w:rPr>
        <w:t>k</w:t>
      </w:r>
      <w:r>
        <w:t>)，</w:t>
      </w:r>
      <w:r>
        <w:rPr>
          <w:i/>
          <w:iCs/>
        </w:rPr>
        <w:t>A</w:t>
      </w:r>
      <w:r>
        <w:rPr>
          <w:vertAlign w:val="subscript"/>
        </w:rPr>
        <w:t>k</w:t>
      </w:r>
      <w:r>
        <w:t xml:space="preserve"> = 2</w:t>
      </w:r>
      <w:r>
        <w:rPr>
          <w:vertAlign w:val="superscript"/>
        </w:rPr>
        <w:t>σ</w:t>
      </w:r>
      <w:r>
        <w:t>·</w:t>
      </w:r>
      <w:r>
        <w:rPr>
          <w:i/>
          <w:iCs/>
        </w:rPr>
        <w:t>B</w:t>
      </w:r>
      <w:r>
        <w:rPr>
          <w:vertAlign w:val="subscript"/>
        </w:rPr>
        <w:t>k</w:t>
      </w:r>
      <w:r>
        <w:t>，σ = 38–39。</w:t>
      </w:r>
    </w:p>
    <w:p w14:paraId="050C15D1">
      <w:pPr>
        <w:pStyle w:val="3"/>
      </w:pPr>
      <w:r>
        <w:t>掩码一旦复用，激活差在三个数据集上都被完全恢复；按 M1 逐查询新鲜采样、并按 M2 v2 把掩码域放宽到激活上界的 2</w:t>
      </w:r>
      <w:r>
        <w:rPr>
          <w:vertAlign w:val="superscript"/>
        </w:rPr>
        <w:t>38</w:t>
      </w:r>
      <w:r>
        <w:t xml:space="preserve"> 倍以上后，单次查询的相关系数与零无异，符号猜测命中率为 50%。旧的窄掩码域（v1）虽然满足 M1，仍残留 0.2–0.28 的相关，说明 M2 的“域对齐”不可省略。</w:t>
      </w:r>
    </w:p>
    <w:p w14:paraId="52DA7781">
      <w:pPr>
        <w:pStyle w:val="3"/>
      </w:pPr>
      <w:r>
        <w:t>M2 给出的是统计安全，强度受掩码宽度限制。表 7-20 给出当前参数下的统计距离与可支持的查询次数。</w:t>
      </w:r>
    </w:p>
    <w:p w14:paraId="51F149ED">
      <w:pPr>
        <w:pStyle w:val="44"/>
      </w:pPr>
      <w:r>
        <w:t>表 7-20：M2 的统计强度（当前 σ ≈ 37，实测导出）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49"/>
        <w:gridCol w:w="2748"/>
        <w:gridCol w:w="4673"/>
      </w:tblGrid>
      <w:tr w14:paraId="15DB1B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649" w:type="dxa"/>
            <w:vAlign w:val="center"/>
          </w:tcPr>
          <w:p w14:paraId="3A75F96D">
            <w:pPr>
              <w:pStyle w:val="84"/>
              <w:jc w:val="left"/>
            </w:pPr>
            <w:r>
              <w:t>数据集</w:t>
            </w:r>
          </w:p>
        </w:tc>
        <w:tc>
          <w:tcPr>
            <w:tcW w:w="2748" w:type="dxa"/>
            <w:vAlign w:val="center"/>
          </w:tcPr>
          <w:p w14:paraId="26A10E53">
            <w:pPr>
              <w:pStyle w:val="84"/>
              <w:jc w:val="center"/>
            </w:pPr>
            <w:r>
              <w:t>每次查询统计距离</w:t>
            </w:r>
          </w:p>
        </w:tc>
        <w:tc>
          <w:tcPr>
            <w:tcW w:w="4673" w:type="dxa"/>
            <w:vAlign w:val="center"/>
          </w:tcPr>
          <w:p w14:paraId="7A220F2C">
            <w:pPr>
              <w:pStyle w:val="84"/>
              <w:jc w:val="center"/>
            </w:pPr>
            <w:r>
              <w:t>总统计距离 ≤ 2</w:t>
            </w:r>
            <w:r>
              <w:rPr>
                <w:vertAlign w:val="superscript"/>
              </w:rPr>
              <w:t>−20</w:t>
            </w:r>
            <w:r>
              <w:t xml:space="preserve"> 时的最大查询数 </w:t>
            </w:r>
            <w:r>
              <w:rPr>
                <w:i/>
                <w:iCs/>
              </w:rPr>
              <w:t>Q</w:t>
            </w:r>
            <w:r>
              <w:rPr>
                <w:vertAlign w:val="subscript"/>
              </w:rPr>
              <w:t>max</w:t>
            </w:r>
          </w:p>
        </w:tc>
      </w:tr>
      <w:tr w14:paraId="4A811B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49" w:type="dxa"/>
            <w:vAlign w:val="center"/>
          </w:tcPr>
          <w:p w14:paraId="75DEAAB1">
            <w:pPr>
              <w:pStyle w:val="84"/>
              <w:jc w:val="left"/>
            </w:pPr>
            <w:r>
              <w:t>MNIST</w:t>
            </w:r>
          </w:p>
        </w:tc>
        <w:tc>
          <w:tcPr>
            <w:tcW w:w="2748" w:type="dxa"/>
            <w:vAlign w:val="center"/>
          </w:tcPr>
          <w:p w14:paraId="1D27F8DD">
            <w:pPr>
              <w:pStyle w:val="84"/>
              <w:jc w:val="center"/>
            </w:pPr>
            <w:r>
              <w:t>2</w:t>
            </w:r>
            <w:r>
              <w:rPr>
                <w:vertAlign w:val="superscript"/>
              </w:rPr>
              <w:t>−30.0</w:t>
            </w:r>
          </w:p>
        </w:tc>
        <w:tc>
          <w:tcPr>
            <w:tcW w:w="4673" w:type="dxa"/>
            <w:vAlign w:val="center"/>
          </w:tcPr>
          <w:p w14:paraId="4FC1159F">
            <w:pPr>
              <w:pStyle w:val="84"/>
              <w:jc w:val="center"/>
            </w:pPr>
            <w:r>
              <w:t>1,024</w:t>
            </w:r>
          </w:p>
        </w:tc>
      </w:tr>
      <w:tr w14:paraId="10A85A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49" w:type="dxa"/>
            <w:vAlign w:val="center"/>
          </w:tcPr>
          <w:p w14:paraId="51D6A315">
            <w:pPr>
              <w:pStyle w:val="84"/>
              <w:jc w:val="left"/>
            </w:pPr>
            <w:r>
              <w:t>CIFAR-10</w:t>
            </w:r>
          </w:p>
        </w:tc>
        <w:tc>
          <w:tcPr>
            <w:tcW w:w="2748" w:type="dxa"/>
            <w:vAlign w:val="center"/>
          </w:tcPr>
          <w:p w14:paraId="1397D9D7">
            <w:pPr>
              <w:pStyle w:val="84"/>
              <w:jc w:val="center"/>
            </w:pPr>
            <w:r>
              <w:t>2</w:t>
            </w:r>
            <w:r>
              <w:rPr>
                <w:vertAlign w:val="superscript"/>
              </w:rPr>
              <w:t>−28.3</w:t>
            </w:r>
          </w:p>
        </w:tc>
        <w:tc>
          <w:tcPr>
            <w:tcW w:w="4673" w:type="dxa"/>
            <w:vAlign w:val="center"/>
          </w:tcPr>
          <w:p w14:paraId="670E92E6">
            <w:pPr>
              <w:pStyle w:val="84"/>
              <w:jc w:val="center"/>
            </w:pPr>
            <w:r>
              <w:t>306</w:t>
            </w:r>
          </w:p>
        </w:tc>
      </w:tr>
      <w:tr w14:paraId="51AC1F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49" w:type="dxa"/>
            <w:vAlign w:val="center"/>
          </w:tcPr>
          <w:p w14:paraId="4D56F6F0">
            <w:pPr>
              <w:pStyle w:val="84"/>
              <w:jc w:val="left"/>
            </w:pPr>
            <w:r>
              <w:t>UCI HAR</w:t>
            </w:r>
          </w:p>
        </w:tc>
        <w:tc>
          <w:tcPr>
            <w:tcW w:w="2748" w:type="dxa"/>
            <w:vAlign w:val="center"/>
          </w:tcPr>
          <w:p w14:paraId="046DF91A">
            <w:pPr>
              <w:pStyle w:val="84"/>
              <w:jc w:val="center"/>
            </w:pPr>
            <w:r>
              <w:t>2</w:t>
            </w:r>
            <w:r>
              <w:rPr>
                <w:vertAlign w:val="superscript"/>
              </w:rPr>
              <w:t>−28.0</w:t>
            </w:r>
          </w:p>
        </w:tc>
        <w:tc>
          <w:tcPr>
            <w:tcW w:w="4673" w:type="dxa"/>
            <w:vAlign w:val="center"/>
          </w:tcPr>
          <w:p w14:paraId="7E969A60">
            <w:pPr>
              <w:pStyle w:val="84"/>
              <w:jc w:val="center"/>
            </w:pPr>
            <w:r>
              <w:t>259</w:t>
            </w:r>
          </w:p>
        </w:tc>
      </w:tr>
    </w:tbl>
    <w:p w14:paraId="52EF7AB1">
      <w:pPr>
        <w:pStyle w:val="3"/>
      </w:pPr>
      <w:r>
        <w:t>σ 的上限来自 SEAL 用 double（53 位尾数）做 CKKS 编码与解码，掩码超过约 2</w:t>
      </w:r>
      <w:r>
        <w:rPr>
          <w:vertAlign w:val="superscript"/>
        </w:rPr>
        <w:t>42</w:t>
      </w:r>
      <w:r>
        <w:t xml:space="preserve"> 就会丢失定点精度。在“日千次”的 ECG 场景下，当前强度不到一天就需要重新 Setup，且单次查询达不到常用的 2</w:t>
      </w:r>
      <w:r>
        <w:rPr>
          <w:vertAlign w:val="superscript"/>
        </w:rPr>
        <w:t>−40</w:t>
      </w:r>
      <w:r>
        <w:t>。这是本文协议目前最主要的安全局限，需要在 §6 中如实陈述。</w:t>
      </w:r>
    </w:p>
    <w:p w14:paraId="073EE694">
      <w:pPr>
        <w:pStyle w:val="3"/>
      </w:pPr>
      <w:r>
        <w:rPr>
          <w:b/>
          <w:bCs/>
        </w:rPr>
        <w:t>（3）输出档位。</w:t>
      </w:r>
      <w:r>
        <w:t xml:space="preserve"> 档位 A 向客户端返回完整 logits，档位 B 只返回类别索引。修正采样偏差后（成员 / 非成员按类别分层随机抽样，攻击训练集与评估集不重叠，并做 200 次置换检验），成员推理攻击的结果如表 7-21。</w:t>
      </w:r>
    </w:p>
    <w:p w14:paraId="3F80F279">
      <w:pPr>
        <w:pStyle w:val="44"/>
      </w:pPr>
      <w:r>
        <w:t>表 7-21：输出档位对成员推理攻击的影响（5 种子，每组 300 条，AUC 范围）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088"/>
        <w:gridCol w:w="1814"/>
        <w:gridCol w:w="1814"/>
        <w:gridCol w:w="1269"/>
        <w:gridCol w:w="3085"/>
      </w:tblGrid>
      <w:tr w14:paraId="475705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088" w:type="dxa"/>
            <w:vAlign w:val="center"/>
          </w:tcPr>
          <w:p w14:paraId="025BD745">
            <w:pPr>
              <w:pStyle w:val="84"/>
              <w:jc w:val="left"/>
            </w:pPr>
            <w:r>
              <w:t>数据集</w:t>
            </w:r>
          </w:p>
        </w:tc>
        <w:tc>
          <w:tcPr>
            <w:tcW w:w="1814" w:type="dxa"/>
            <w:vAlign w:val="center"/>
          </w:tcPr>
          <w:p w14:paraId="17DBF4E2">
            <w:pPr>
              <w:pStyle w:val="84"/>
              <w:jc w:val="center"/>
            </w:pPr>
            <w:r>
              <w:t>档位 A（logits）</w:t>
            </w:r>
          </w:p>
        </w:tc>
        <w:tc>
          <w:tcPr>
            <w:tcW w:w="1814" w:type="dxa"/>
            <w:vAlign w:val="center"/>
          </w:tcPr>
          <w:p w14:paraId="374D072B">
            <w:pPr>
              <w:pStyle w:val="84"/>
              <w:jc w:val="center"/>
            </w:pPr>
            <w:r>
              <w:t>档位 B（仅索引）</w:t>
            </w:r>
          </w:p>
        </w:tc>
        <w:tc>
          <w:tcPr>
            <w:tcW w:w="1269" w:type="dxa"/>
            <w:vAlign w:val="center"/>
          </w:tcPr>
          <w:p w14:paraId="0BF07D4C">
            <w:pPr>
              <w:pStyle w:val="84"/>
              <w:jc w:val="center"/>
            </w:pPr>
            <w:r>
              <w:t>置换零假设</w:t>
            </w:r>
          </w:p>
        </w:tc>
        <w:tc>
          <w:tcPr>
            <w:tcW w:w="3085" w:type="dxa"/>
            <w:vAlign w:val="center"/>
          </w:tcPr>
          <w:p w14:paraId="6B3E97FD">
            <w:pPr>
              <w:pStyle w:val="84"/>
              <w:jc w:val="center"/>
            </w:pPr>
            <w:r>
              <w:t>档位 B 中 p &lt; 0.05 的种子数</w:t>
            </w:r>
          </w:p>
        </w:tc>
      </w:tr>
      <w:tr w14:paraId="1F1922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5C7D5A2E">
            <w:pPr>
              <w:pStyle w:val="84"/>
              <w:jc w:val="left"/>
            </w:pPr>
            <w:r>
              <w:t>MNIST</w:t>
            </w:r>
          </w:p>
        </w:tc>
        <w:tc>
          <w:tcPr>
            <w:tcW w:w="1814" w:type="dxa"/>
            <w:vAlign w:val="center"/>
          </w:tcPr>
          <w:p w14:paraId="6601BA95">
            <w:pPr>
              <w:pStyle w:val="84"/>
              <w:jc w:val="center"/>
            </w:pPr>
            <w:r>
              <w:t>0.490–0.553</w:t>
            </w:r>
          </w:p>
        </w:tc>
        <w:tc>
          <w:tcPr>
            <w:tcW w:w="1814" w:type="dxa"/>
            <w:vAlign w:val="center"/>
          </w:tcPr>
          <w:p w14:paraId="2627B786">
            <w:pPr>
              <w:pStyle w:val="84"/>
              <w:jc w:val="center"/>
            </w:pPr>
            <w:r>
              <w:t>0.493–0.505</w:t>
            </w:r>
          </w:p>
        </w:tc>
        <w:tc>
          <w:tcPr>
            <w:tcW w:w="1269" w:type="dxa"/>
            <w:vAlign w:val="center"/>
          </w:tcPr>
          <w:p w14:paraId="00320FB3">
            <w:pPr>
              <w:pStyle w:val="84"/>
              <w:jc w:val="center"/>
            </w:pPr>
            <w:r>
              <w:t>≈ 0.50</w:t>
            </w:r>
          </w:p>
        </w:tc>
        <w:tc>
          <w:tcPr>
            <w:tcW w:w="3085" w:type="dxa"/>
            <w:vAlign w:val="center"/>
          </w:tcPr>
          <w:p w14:paraId="7AA5A48A">
            <w:pPr>
              <w:pStyle w:val="84"/>
              <w:jc w:val="center"/>
            </w:pPr>
            <w:r>
              <w:t>1 / 5</w:t>
            </w:r>
          </w:p>
        </w:tc>
      </w:tr>
      <w:tr w14:paraId="33B1D0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654B4BAB">
            <w:pPr>
              <w:pStyle w:val="84"/>
              <w:jc w:val="left"/>
            </w:pPr>
            <w:r>
              <w:t>CIFAR-10</w:t>
            </w:r>
          </w:p>
        </w:tc>
        <w:tc>
          <w:tcPr>
            <w:tcW w:w="1814" w:type="dxa"/>
            <w:vAlign w:val="center"/>
          </w:tcPr>
          <w:p w14:paraId="68F6BD78">
            <w:pPr>
              <w:pStyle w:val="84"/>
              <w:jc w:val="center"/>
            </w:pPr>
            <w:r>
              <w:t>0.674–0.698</w:t>
            </w:r>
          </w:p>
        </w:tc>
        <w:tc>
          <w:tcPr>
            <w:tcW w:w="1814" w:type="dxa"/>
            <w:vAlign w:val="center"/>
          </w:tcPr>
          <w:p w14:paraId="0C9530F9">
            <w:pPr>
              <w:pStyle w:val="84"/>
              <w:jc w:val="center"/>
            </w:pPr>
            <w:r>
              <w:t>0.498–0.542</w:t>
            </w:r>
          </w:p>
        </w:tc>
        <w:tc>
          <w:tcPr>
            <w:tcW w:w="1269" w:type="dxa"/>
            <w:vAlign w:val="center"/>
          </w:tcPr>
          <w:p w14:paraId="27CAD4A9">
            <w:pPr>
              <w:pStyle w:val="84"/>
              <w:jc w:val="center"/>
            </w:pPr>
            <w:r>
              <w:t>≈ 0.50</w:t>
            </w:r>
          </w:p>
        </w:tc>
        <w:tc>
          <w:tcPr>
            <w:tcW w:w="3085" w:type="dxa"/>
            <w:vAlign w:val="center"/>
          </w:tcPr>
          <w:p w14:paraId="5D321164">
            <w:pPr>
              <w:pStyle w:val="84"/>
              <w:jc w:val="center"/>
            </w:pPr>
            <w:r>
              <w:t>1 / 5</w:t>
            </w:r>
          </w:p>
        </w:tc>
      </w:tr>
      <w:tr w14:paraId="02B365F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1DB0B67A">
            <w:pPr>
              <w:pStyle w:val="84"/>
              <w:jc w:val="left"/>
            </w:pPr>
            <w:r>
              <w:t>UCI HAR</w:t>
            </w:r>
          </w:p>
        </w:tc>
        <w:tc>
          <w:tcPr>
            <w:tcW w:w="1814" w:type="dxa"/>
            <w:vAlign w:val="center"/>
          </w:tcPr>
          <w:p w14:paraId="5E4C8F8A">
            <w:pPr>
              <w:pStyle w:val="84"/>
              <w:jc w:val="center"/>
            </w:pPr>
            <w:r>
              <w:t>0.495–0.574</w:t>
            </w:r>
          </w:p>
        </w:tc>
        <w:tc>
          <w:tcPr>
            <w:tcW w:w="1814" w:type="dxa"/>
            <w:vAlign w:val="center"/>
          </w:tcPr>
          <w:p w14:paraId="096C3FD4">
            <w:pPr>
              <w:pStyle w:val="84"/>
              <w:jc w:val="center"/>
            </w:pPr>
            <w:r>
              <w:t>0.499–0.516</w:t>
            </w:r>
          </w:p>
        </w:tc>
        <w:tc>
          <w:tcPr>
            <w:tcW w:w="1269" w:type="dxa"/>
            <w:vAlign w:val="center"/>
          </w:tcPr>
          <w:p w14:paraId="013EF077">
            <w:pPr>
              <w:pStyle w:val="84"/>
              <w:jc w:val="center"/>
            </w:pPr>
            <w:r>
              <w:t>≈ 0.50</w:t>
            </w:r>
          </w:p>
        </w:tc>
        <w:tc>
          <w:tcPr>
            <w:tcW w:w="3085" w:type="dxa"/>
            <w:vAlign w:val="center"/>
          </w:tcPr>
          <w:p w14:paraId="45923D5D">
            <w:pPr>
              <w:pStyle w:val="84"/>
              <w:jc w:val="center"/>
            </w:pPr>
            <w:r>
              <w:t>1 / 5</w:t>
            </w:r>
          </w:p>
        </w:tc>
      </w:tr>
    </w:tbl>
    <w:p w14:paraId="07D11429">
      <w:pPr>
        <w:pStyle w:val="83"/>
      </w:pPr>
      <w:r>
        <w:t>注：本表为修正后的本机验证结果（</w:t>
      </w:r>
      <w:r>
        <w:rPr>
          <w:rStyle w:val="48"/>
        </w:rPr>
        <w:t>docs/审阅_P1P2代码_2026-10-29.md</w:t>
      </w:r>
      <w:r>
        <w:t xml:space="preserve"> §5.1），结果文件待重跑入库【待补】；仓库中 </w:t>
      </w:r>
      <w:r>
        <w:rPr>
          <w:rStyle w:val="48"/>
        </w:rPr>
        <w:t>E10/all/summary_5seeds.json</w:t>
      </w:r>
      <w:r>
        <w:t xml:space="preserve"> 的 MIA 数字为修正前版本，不再引用。</w:t>
      </w:r>
    </w:p>
    <w:p w14:paraId="3A4BE477">
      <w:pPr>
        <w:pStyle w:val="3"/>
      </w:pPr>
      <w:r>
        <w:t>只返回类别索引时，三个数据集上攻击 AUC 都与置换零假设一致（15 次检验中 3 次 p &lt; 0.05，接近多重检验的期望）。全 logits 的显著泄漏只在过拟合最明显的 CIFAR-10 上稳健。</w:t>
      </w:r>
    </w:p>
    <w:p w14:paraId="27661B08">
      <w:pPr>
        <w:pStyle w:val="3"/>
      </w:pPr>
      <w:r>
        <w:rPr>
          <w:b/>
          <w:bCs/>
        </w:rPr>
        <w:t>（4）定点截断。</w:t>
      </w:r>
      <w:r>
        <w:t xml:space="preserve"> 份额域定点乘法后需截断回 </w:t>
      </w:r>
      <w:r>
        <w:rPr>
          <w:i/>
          <w:iCs/>
        </w:rPr>
        <w:t>f</w:t>
      </w:r>
      <w:r>
        <w:t xml:space="preserve"> 位小数。表 7-22 对比直接截断与随机截断（</w:t>
      </w:r>
      <w:r>
        <w:rPr>
          <w:i/>
          <w:iCs/>
        </w:rPr>
        <w:t>f</w:t>
      </w:r>
      <w:r>
        <w:t xml:space="preserve"> = 8，5 种子）。</w:t>
      </w:r>
    </w:p>
    <w:p w14:paraId="31B420DC">
      <w:pPr>
        <w:pStyle w:val="44"/>
      </w:pPr>
      <w:r>
        <w:t>表 7-22：直接截断与随机截断的累积偏差（单位：LSB = 2</w:t>
      </w:r>
      <w:r>
        <w:rPr>
          <w:vertAlign w:val="superscript"/>
        </w:rPr>
        <w:t>−8</w:t>
      </w:r>
      <w:r>
        <w:t>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267"/>
        <w:gridCol w:w="1200"/>
        <w:gridCol w:w="1333"/>
        <w:gridCol w:w="1333"/>
        <w:gridCol w:w="1333"/>
        <w:gridCol w:w="1604"/>
      </w:tblGrid>
      <w:tr w14:paraId="1141C2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267" w:type="dxa"/>
            <w:vAlign w:val="center"/>
          </w:tcPr>
          <w:p w14:paraId="1350739D">
            <w:pPr>
              <w:pStyle w:val="84"/>
              <w:jc w:val="left"/>
            </w:pPr>
            <w:r>
              <w:t xml:space="preserve">点积长度 </w:t>
            </w:r>
            <w:r>
              <w:rPr>
                <w:i/>
                <w:iCs/>
              </w:rPr>
              <w:t>n</w:t>
            </w:r>
          </w:p>
        </w:tc>
        <w:tc>
          <w:tcPr>
            <w:tcW w:w="1200" w:type="dxa"/>
            <w:vAlign w:val="center"/>
          </w:tcPr>
          <w:p w14:paraId="175E14E9">
            <w:pPr>
              <w:pStyle w:val="84"/>
              <w:jc w:val="center"/>
            </w:pPr>
            <w:r>
              <w:t>1</w:t>
            </w:r>
          </w:p>
        </w:tc>
        <w:tc>
          <w:tcPr>
            <w:tcW w:w="1333" w:type="dxa"/>
            <w:vAlign w:val="center"/>
          </w:tcPr>
          <w:p w14:paraId="51F88859">
            <w:pPr>
              <w:pStyle w:val="84"/>
              <w:jc w:val="center"/>
            </w:pPr>
            <w:r>
              <w:t>16</w:t>
            </w:r>
          </w:p>
        </w:tc>
        <w:tc>
          <w:tcPr>
            <w:tcW w:w="1333" w:type="dxa"/>
            <w:vAlign w:val="center"/>
          </w:tcPr>
          <w:p w14:paraId="66A49F78">
            <w:pPr>
              <w:pStyle w:val="84"/>
              <w:jc w:val="center"/>
            </w:pPr>
            <w:r>
              <w:t>256</w:t>
            </w:r>
          </w:p>
        </w:tc>
        <w:tc>
          <w:tcPr>
            <w:tcW w:w="1333" w:type="dxa"/>
            <w:vAlign w:val="center"/>
          </w:tcPr>
          <w:p w14:paraId="08E9AB84">
            <w:pPr>
              <w:pStyle w:val="84"/>
              <w:jc w:val="center"/>
            </w:pPr>
            <w:r>
              <w:t>1,024</w:t>
            </w:r>
          </w:p>
        </w:tc>
        <w:tc>
          <w:tcPr>
            <w:tcW w:w="1604" w:type="dxa"/>
            <w:vAlign w:val="center"/>
          </w:tcPr>
          <w:p w14:paraId="3C2D7893">
            <w:pPr>
              <w:pStyle w:val="84"/>
              <w:jc w:val="center"/>
            </w:pPr>
            <w:r>
              <w:t>4,096</w:t>
            </w:r>
          </w:p>
        </w:tc>
      </w:tr>
      <w:tr w14:paraId="0EF2F3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67" w:type="dxa"/>
            <w:vAlign w:val="center"/>
          </w:tcPr>
          <w:p w14:paraId="77A93F6C">
            <w:pPr>
              <w:pStyle w:val="84"/>
              <w:jc w:val="left"/>
            </w:pPr>
            <w:r>
              <w:t>直接截断 bias</w:t>
            </w:r>
          </w:p>
        </w:tc>
        <w:tc>
          <w:tcPr>
            <w:tcW w:w="1200" w:type="dxa"/>
            <w:vAlign w:val="center"/>
          </w:tcPr>
          <w:p w14:paraId="55BFACD1">
            <w:pPr>
              <w:pStyle w:val="84"/>
              <w:jc w:val="center"/>
            </w:pPr>
            <w:r>
              <w:t>−0.51</w:t>
            </w:r>
          </w:p>
        </w:tc>
        <w:tc>
          <w:tcPr>
            <w:tcW w:w="1333" w:type="dxa"/>
            <w:vAlign w:val="center"/>
          </w:tcPr>
          <w:p w14:paraId="0495531D">
            <w:pPr>
              <w:pStyle w:val="84"/>
              <w:jc w:val="center"/>
            </w:pPr>
            <w:r>
              <w:t>−7.82</w:t>
            </w:r>
          </w:p>
        </w:tc>
        <w:tc>
          <w:tcPr>
            <w:tcW w:w="1333" w:type="dxa"/>
            <w:vAlign w:val="center"/>
          </w:tcPr>
          <w:p w14:paraId="1F26295A">
            <w:pPr>
              <w:pStyle w:val="84"/>
              <w:jc w:val="center"/>
            </w:pPr>
            <w:r>
              <w:t>−125.2</w:t>
            </w:r>
          </w:p>
        </w:tc>
        <w:tc>
          <w:tcPr>
            <w:tcW w:w="1333" w:type="dxa"/>
            <w:vAlign w:val="center"/>
          </w:tcPr>
          <w:p w14:paraId="292888C8">
            <w:pPr>
              <w:pStyle w:val="84"/>
              <w:jc w:val="center"/>
            </w:pPr>
            <w:r>
              <w:t>−501.5</w:t>
            </w:r>
          </w:p>
        </w:tc>
        <w:tc>
          <w:tcPr>
            <w:tcW w:w="1604" w:type="dxa"/>
            <w:vAlign w:val="center"/>
          </w:tcPr>
          <w:p w14:paraId="5E696A4A">
            <w:pPr>
              <w:pStyle w:val="84"/>
              <w:jc w:val="center"/>
            </w:pPr>
            <w:r>
              <w:t>−2,006.1</w:t>
            </w:r>
          </w:p>
        </w:tc>
      </w:tr>
      <w:tr w14:paraId="5A2C8A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67" w:type="dxa"/>
            <w:vAlign w:val="center"/>
          </w:tcPr>
          <w:p w14:paraId="7DF3552B">
            <w:pPr>
              <w:pStyle w:val="84"/>
              <w:jc w:val="left"/>
            </w:pPr>
            <w:r>
              <w:t>随机截断 bias</w:t>
            </w:r>
          </w:p>
        </w:tc>
        <w:tc>
          <w:tcPr>
            <w:tcW w:w="1200" w:type="dxa"/>
            <w:vAlign w:val="center"/>
          </w:tcPr>
          <w:p w14:paraId="0829A28E">
            <w:pPr>
              <w:pStyle w:val="84"/>
              <w:jc w:val="center"/>
            </w:pPr>
            <w:r>
              <w:t>−0.02</w:t>
            </w:r>
          </w:p>
        </w:tc>
        <w:tc>
          <w:tcPr>
            <w:tcW w:w="1333" w:type="dxa"/>
            <w:vAlign w:val="center"/>
          </w:tcPr>
          <w:p w14:paraId="2F984440">
            <w:pPr>
              <w:pStyle w:val="84"/>
              <w:jc w:val="center"/>
            </w:pPr>
            <w:r>
              <w:t>+0.002</w:t>
            </w:r>
          </w:p>
        </w:tc>
        <w:tc>
          <w:tcPr>
            <w:tcW w:w="1333" w:type="dxa"/>
            <w:vAlign w:val="center"/>
          </w:tcPr>
          <w:p w14:paraId="29DBF83C">
            <w:pPr>
              <w:pStyle w:val="84"/>
              <w:jc w:val="center"/>
            </w:pPr>
            <w:r>
              <w:t>+0.35</w:t>
            </w:r>
          </w:p>
        </w:tc>
        <w:tc>
          <w:tcPr>
            <w:tcW w:w="1333" w:type="dxa"/>
            <w:vAlign w:val="center"/>
          </w:tcPr>
          <w:p w14:paraId="0770DFCA">
            <w:pPr>
              <w:pStyle w:val="84"/>
              <w:jc w:val="center"/>
            </w:pPr>
            <w:r>
              <w:t>+0.73</w:t>
            </w:r>
          </w:p>
        </w:tc>
        <w:tc>
          <w:tcPr>
            <w:tcW w:w="1604" w:type="dxa"/>
            <w:vAlign w:val="center"/>
          </w:tcPr>
          <w:p w14:paraId="074D7747">
            <w:pPr>
              <w:pStyle w:val="84"/>
              <w:jc w:val="center"/>
            </w:pPr>
            <w:r>
              <w:t>+1.65</w:t>
            </w:r>
          </w:p>
        </w:tc>
      </w:tr>
    </w:tbl>
    <w:p w14:paraId="536CC1B4">
      <w:pPr>
        <w:pStyle w:val="83"/>
      </w:pPr>
      <w:r>
        <w:t>注：单次截断（</w:t>
      </w:r>
      <w:r>
        <w:rPr>
          <w:i/>
          <w:iCs/>
        </w:rPr>
        <w:t>n</w:t>
      </w:r>
      <w:r>
        <w:t xml:space="preserve"> = 200,000）的 bias：直接截断 −0.4903 ± 0.0006，随机截断 +0.0003 ± 0.0007；方差 0.084 对 0.166。纯 Python / numpy 实现，验证的是截断算子本身的统计性质。</w:t>
      </w:r>
    </w:p>
    <w:p w14:paraId="4ED5EEC2">
      <w:pPr>
        <w:pStyle w:val="3"/>
      </w:pPr>
      <w:r>
        <w:t xml:space="preserve">直接截断每次固定向下偏约 0.5 LSB，并随点积长度线性累积；在 </w:t>
      </w:r>
      <w:r>
        <w:rPr>
          <w:i/>
          <w:iCs/>
        </w:rPr>
        <w:t>n</w:t>
      </w:r>
      <w:r>
        <w:t xml:space="preserve"> = 4,096 时累积偏差达 −2,006 LSB，约为整个 2</w:t>
      </w:r>
      <w:r>
        <w:rPr>
          <w:vertAlign w:val="superscript"/>
        </w:rPr>
        <w:t>8</w:t>
      </w:r>
      <w:r>
        <w:t xml:space="preserve"> 定点域的 7.8 倍。随机截断保持无偏，误差只按 √</w:t>
      </w:r>
      <w:r>
        <w:rPr>
          <w:i/>
          <w:iCs/>
        </w:rPr>
        <w:t>n</w:t>
      </w:r>
      <w:r>
        <w:t xml:space="preserve"> 增长。</w:t>
      </w:r>
    </w:p>
    <w:p w14:paraId="7ADE5458">
      <w:pPr>
        <w:pStyle w:val="3"/>
      </w:pPr>
      <w:r>
        <w:rPr>
          <w:b/>
          <w:bCs/>
        </w:rPr>
        <w:t>（5）调度混淆。</w:t>
      </w:r>
      <w:r>
        <w:t xml:space="preserve"> 开启调度混淆后，非 Hybrid 层也走完整的“假岔路”（发送 dummy 密文对并执行 SCI），使服务端观察到的消息序列与调度无关。表 7-23 给出实测代价。</w:t>
      </w:r>
    </w:p>
    <w:p w14:paraId="4E233695">
      <w:pPr>
        <w:pStyle w:val="44"/>
      </w:pPr>
      <w:r>
        <w:t>表 7-23：调度混淆的实测代价（回环，seed 73，三个数据集）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366"/>
        <w:gridCol w:w="1490"/>
        <w:gridCol w:w="1987"/>
        <w:gridCol w:w="1987"/>
        <w:gridCol w:w="2240"/>
      </w:tblGrid>
      <w:tr w14:paraId="7F834F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366" w:type="dxa"/>
            <w:vAlign w:val="center"/>
          </w:tcPr>
          <w:p w14:paraId="3C5D339F">
            <w:pPr>
              <w:pStyle w:val="84"/>
              <w:jc w:val="center"/>
            </w:pPr>
            <w:r>
              <w:t>原调度</w:t>
            </w:r>
          </w:p>
        </w:tc>
        <w:tc>
          <w:tcPr>
            <w:tcW w:w="1490" w:type="dxa"/>
            <w:vAlign w:val="center"/>
          </w:tcPr>
          <w:p w14:paraId="70ED7D10">
            <w:pPr>
              <w:pStyle w:val="84"/>
              <w:jc w:val="center"/>
            </w:pPr>
            <w:r>
              <w:t>额外往返</w:t>
            </w:r>
          </w:p>
        </w:tc>
        <w:tc>
          <w:tcPr>
            <w:tcW w:w="1987" w:type="dxa"/>
            <w:vAlign w:val="center"/>
          </w:tcPr>
          <w:p w14:paraId="11D2E1A2">
            <w:pPr>
              <w:pStyle w:val="84"/>
              <w:jc w:val="center"/>
            </w:pPr>
            <w:r>
              <w:t>上行字节倍数</w:t>
            </w:r>
          </w:p>
        </w:tc>
        <w:tc>
          <w:tcPr>
            <w:tcW w:w="1987" w:type="dxa"/>
            <w:vAlign w:val="center"/>
          </w:tcPr>
          <w:p w14:paraId="49266965">
            <w:pPr>
              <w:pStyle w:val="84"/>
              <w:jc w:val="center"/>
            </w:pPr>
            <w:r>
              <w:t>下行字节倍数</w:t>
            </w:r>
          </w:p>
        </w:tc>
        <w:tc>
          <w:tcPr>
            <w:tcW w:w="2240" w:type="dxa"/>
            <w:vAlign w:val="center"/>
          </w:tcPr>
          <w:p w14:paraId="0504BCCD">
            <w:pPr>
              <w:pStyle w:val="84"/>
              <w:jc w:val="center"/>
            </w:pPr>
            <w:r>
              <w:t>端到端时间倍数</w:t>
            </w:r>
          </w:p>
        </w:tc>
      </w:tr>
      <w:tr w14:paraId="066484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366" w:type="dxa"/>
            <w:vAlign w:val="center"/>
          </w:tcPr>
          <w:p w14:paraId="362A7340">
            <w:pPr>
              <w:pStyle w:val="84"/>
              <w:jc w:val="center"/>
            </w:pPr>
            <w:r>
              <w:t>00</w:t>
            </w:r>
          </w:p>
        </w:tc>
        <w:tc>
          <w:tcPr>
            <w:tcW w:w="1490" w:type="dxa"/>
            <w:vAlign w:val="center"/>
          </w:tcPr>
          <w:p w14:paraId="62DE7440">
            <w:pPr>
              <w:pStyle w:val="84"/>
              <w:jc w:val="center"/>
            </w:pPr>
            <w:r>
              <w:t>+2</w:t>
            </w:r>
          </w:p>
        </w:tc>
        <w:tc>
          <w:tcPr>
            <w:tcW w:w="1987" w:type="dxa"/>
            <w:vAlign w:val="center"/>
          </w:tcPr>
          <w:p w14:paraId="3309D9C2">
            <w:pPr>
              <w:pStyle w:val="84"/>
              <w:jc w:val="center"/>
            </w:pPr>
            <w:r>
              <w:t>3.0×</w:t>
            </w:r>
          </w:p>
        </w:tc>
        <w:tc>
          <w:tcPr>
            <w:tcW w:w="1987" w:type="dxa"/>
            <w:vAlign w:val="center"/>
          </w:tcPr>
          <w:p w14:paraId="06007CD4">
            <w:pPr>
              <w:pStyle w:val="84"/>
              <w:jc w:val="center"/>
            </w:pPr>
            <w:r>
              <w:t>6.0×</w:t>
            </w:r>
          </w:p>
        </w:tc>
        <w:tc>
          <w:tcPr>
            <w:tcW w:w="2240" w:type="dxa"/>
            <w:vAlign w:val="center"/>
          </w:tcPr>
          <w:p w14:paraId="6AD62413">
            <w:pPr>
              <w:pStyle w:val="84"/>
              <w:jc w:val="center"/>
            </w:pPr>
            <w:r>
              <w:t>0.99–1.01</w:t>
            </w:r>
          </w:p>
        </w:tc>
      </w:tr>
      <w:tr w14:paraId="31D262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366" w:type="dxa"/>
            <w:vAlign w:val="center"/>
          </w:tcPr>
          <w:p w14:paraId="67F668CA">
            <w:pPr>
              <w:pStyle w:val="84"/>
              <w:jc w:val="center"/>
            </w:pPr>
            <w:r>
              <w:t>01 / 10</w:t>
            </w:r>
          </w:p>
        </w:tc>
        <w:tc>
          <w:tcPr>
            <w:tcW w:w="1490" w:type="dxa"/>
            <w:vAlign w:val="center"/>
          </w:tcPr>
          <w:p w14:paraId="657F9C5A">
            <w:pPr>
              <w:pStyle w:val="84"/>
              <w:jc w:val="center"/>
            </w:pPr>
            <w:r>
              <w:t>+1</w:t>
            </w:r>
          </w:p>
        </w:tc>
        <w:tc>
          <w:tcPr>
            <w:tcW w:w="1987" w:type="dxa"/>
            <w:vAlign w:val="center"/>
          </w:tcPr>
          <w:p w14:paraId="2B676034">
            <w:pPr>
              <w:pStyle w:val="84"/>
              <w:jc w:val="center"/>
            </w:pPr>
            <w:r>
              <w:t>1.5×</w:t>
            </w:r>
          </w:p>
        </w:tc>
        <w:tc>
          <w:tcPr>
            <w:tcW w:w="1987" w:type="dxa"/>
            <w:vAlign w:val="center"/>
          </w:tcPr>
          <w:p w14:paraId="517D4F78">
            <w:pPr>
              <w:pStyle w:val="84"/>
              <w:jc w:val="center"/>
            </w:pPr>
            <w:r>
              <w:t>1.2×</w:t>
            </w:r>
          </w:p>
        </w:tc>
        <w:tc>
          <w:tcPr>
            <w:tcW w:w="2240" w:type="dxa"/>
            <w:vAlign w:val="center"/>
          </w:tcPr>
          <w:p w14:paraId="791509DE">
            <w:pPr>
              <w:pStyle w:val="84"/>
              <w:jc w:val="center"/>
            </w:pPr>
            <w:r>
              <w:t>0.97–1.02</w:t>
            </w:r>
          </w:p>
        </w:tc>
      </w:tr>
      <w:tr w14:paraId="53F3C8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366" w:type="dxa"/>
            <w:vAlign w:val="center"/>
          </w:tcPr>
          <w:p w14:paraId="229983C4">
            <w:pPr>
              <w:pStyle w:val="84"/>
              <w:jc w:val="center"/>
            </w:pPr>
            <w:r>
              <w:t>11</w:t>
            </w:r>
          </w:p>
        </w:tc>
        <w:tc>
          <w:tcPr>
            <w:tcW w:w="1490" w:type="dxa"/>
            <w:vAlign w:val="center"/>
          </w:tcPr>
          <w:p w14:paraId="725D3263">
            <w:pPr>
              <w:pStyle w:val="84"/>
              <w:jc w:val="center"/>
            </w:pPr>
            <w:r>
              <w:t>0</w:t>
            </w:r>
          </w:p>
        </w:tc>
        <w:tc>
          <w:tcPr>
            <w:tcW w:w="1987" w:type="dxa"/>
            <w:vAlign w:val="center"/>
          </w:tcPr>
          <w:p w14:paraId="23BAA595">
            <w:pPr>
              <w:pStyle w:val="84"/>
              <w:jc w:val="center"/>
            </w:pPr>
            <w:r>
              <w:t>1.0×</w:t>
            </w:r>
          </w:p>
        </w:tc>
        <w:tc>
          <w:tcPr>
            <w:tcW w:w="1987" w:type="dxa"/>
            <w:vAlign w:val="center"/>
          </w:tcPr>
          <w:p w14:paraId="77BD3710">
            <w:pPr>
              <w:pStyle w:val="84"/>
              <w:jc w:val="center"/>
            </w:pPr>
            <w:r>
              <w:t>0.67×</w:t>
            </w:r>
          </w:p>
        </w:tc>
        <w:tc>
          <w:tcPr>
            <w:tcW w:w="2240" w:type="dxa"/>
            <w:vAlign w:val="center"/>
          </w:tcPr>
          <w:p w14:paraId="6067FF5F">
            <w:pPr>
              <w:pStyle w:val="84"/>
              <w:jc w:val="center"/>
            </w:pPr>
            <w:r>
              <w:t>1.00–1.06</w:t>
            </w:r>
          </w:p>
        </w:tc>
      </w:tr>
    </w:tbl>
    <w:p w14:paraId="0F38C0DF">
      <w:pPr>
        <w:pStyle w:val="83"/>
      </w:pPr>
      <w:r>
        <w:t xml:space="preserve">注：混淆后服务端下发密文被模数切换到与调度无关的 level，故 </w:t>
      </w:r>
      <w:r>
        <w:rPr>
          <w:i/>
          <w:iCs/>
        </w:rPr>
        <w:t>s</w:t>
      </w:r>
      <w:r>
        <w:t xml:space="preserve"> = 11 的下行反而变小。混淆只有在加密信道上、且控制消息定长填充时才有意义：当前 SPEC 消息以明文 JSON 携带调度字段。</w:t>
      </w:r>
    </w:p>
    <w:p w14:paraId="258A0E4E">
      <w:pPr>
        <w:pStyle w:val="3"/>
      </w:pPr>
      <w:r>
        <w:t>由于端到端时间由服务端前向主导，混淆在回环上几乎不增加墙钟时间；它的真实代价是字节，HE-only 档的上行增至 3 倍、下行增至 6 倍。</w:t>
      </w:r>
    </w:p>
    <w:bookmarkEnd w:id="39"/>
    <w:p w14:paraId="0569B091">
      <w:pPr>
        <w:pStyle w:val="5"/>
      </w:pPr>
      <w:bookmarkStart w:id="40" w:name="comparison-with-baselines"/>
      <w:r>
        <w:t>7.7 Comparison with Baselines</w:t>
      </w:r>
    </w:p>
    <w:p w14:paraId="7E6C96ED">
      <w:pPr>
        <w:pStyle w:val="23"/>
      </w:pPr>
      <w:r>
        <w:rPr>
          <w:b/>
          <w:bCs/>
        </w:rPr>
        <w:t>三种配置点。</w:t>
      </w:r>
      <w:r>
        <w:t xml:space="preserve"> 表 7-24 在 canonical CIFAR-10 上并列 HE-only、Adaptive 与 Hybrid-all 三个配置点；Adaptive 行给出 §7.4 adaptive 基线选中的 s = 10，并列出备选 s = 01。</w:t>
      </w:r>
    </w:p>
    <w:p w14:paraId="57F734E1">
      <w:pPr>
        <w:pStyle w:val="44"/>
      </w:pPr>
      <w:r>
        <w:t>表 7-24：三种配置点对比（canonical CIFAR-10）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881"/>
        <w:gridCol w:w="503"/>
        <w:gridCol w:w="1070"/>
        <w:gridCol w:w="881"/>
        <w:gridCol w:w="1826"/>
        <w:gridCol w:w="2141"/>
        <w:gridCol w:w="881"/>
        <w:gridCol w:w="887"/>
      </w:tblGrid>
      <w:tr w14:paraId="7BDFEF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881" w:type="dxa"/>
            <w:vAlign w:val="center"/>
          </w:tcPr>
          <w:p w14:paraId="5A6C2B32">
            <w:pPr>
              <w:pStyle w:val="84"/>
              <w:jc w:val="left"/>
            </w:pPr>
            <w:r>
              <w:t>配置</w:t>
            </w:r>
          </w:p>
        </w:tc>
        <w:tc>
          <w:tcPr>
            <w:tcW w:w="503" w:type="dxa"/>
            <w:vAlign w:val="center"/>
          </w:tcPr>
          <w:p w14:paraId="6EEB60F6">
            <w:pPr>
              <w:pStyle w:val="84"/>
              <w:jc w:val="center"/>
            </w:pPr>
            <w:r>
              <w:t>调度</w:t>
            </w:r>
          </w:p>
        </w:tc>
        <w:tc>
          <w:tcPr>
            <w:tcW w:w="1070" w:type="dxa"/>
            <w:vAlign w:val="center"/>
          </w:tcPr>
          <w:p w14:paraId="4BF1FBAD">
            <w:pPr>
              <w:pStyle w:val="84"/>
              <w:jc w:val="center"/>
            </w:pPr>
            <w:r>
              <w:t>明文精度</w:t>
            </w:r>
          </w:p>
        </w:tc>
        <w:tc>
          <w:tcPr>
            <w:tcW w:w="881" w:type="dxa"/>
            <w:vAlign w:val="center"/>
          </w:tcPr>
          <w:p w14:paraId="44D3D1F4">
            <w:pPr>
              <w:pStyle w:val="84"/>
              <w:jc w:val="center"/>
            </w:pPr>
            <w:r>
              <w:t>密文一致率</w:t>
            </w:r>
          </w:p>
        </w:tc>
        <w:tc>
          <w:tcPr>
            <w:tcW w:w="1826" w:type="dxa"/>
            <w:vAlign w:val="center"/>
          </w:tcPr>
          <w:p w14:paraId="0E6B9E8C">
            <w:pPr>
              <w:pStyle w:val="84"/>
              <w:jc w:val="center"/>
            </w:pPr>
            <w:r>
              <w:t>往返数（主通道 / 端到端）</w:t>
            </w:r>
          </w:p>
        </w:tc>
        <w:tc>
          <w:tcPr>
            <w:tcW w:w="2141" w:type="dxa"/>
            <w:vAlign w:val="center"/>
          </w:tcPr>
          <w:p w14:paraId="4796AA4F">
            <w:pPr>
              <w:pStyle w:val="84"/>
              <w:jc w:val="center"/>
            </w:pPr>
            <w:r>
              <w:t>在线字节（baseline / compact）</w:t>
            </w:r>
          </w:p>
        </w:tc>
        <w:tc>
          <w:tcPr>
            <w:tcW w:w="881" w:type="dxa"/>
            <w:vAlign w:val="center"/>
          </w:tcPr>
          <w:p w14:paraId="368E08FE">
            <w:pPr>
              <w:pStyle w:val="84"/>
              <w:jc w:val="center"/>
            </w:pPr>
            <w:r>
              <w:t>服务端前向</w:t>
            </w:r>
          </w:p>
        </w:tc>
        <w:tc>
          <w:tcPr>
            <w:tcW w:w="887" w:type="dxa"/>
            <w:vAlign w:val="center"/>
          </w:tcPr>
          <w:p w14:paraId="328C6218">
            <w:pPr>
              <w:pStyle w:val="84"/>
              <w:jc w:val="center"/>
            </w:pPr>
            <w:r>
              <w:t>客户端 SCI</w:t>
            </w:r>
          </w:p>
        </w:tc>
      </w:tr>
      <w:tr w14:paraId="5F646A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3D6E58AE">
            <w:pPr>
              <w:pStyle w:val="84"/>
              <w:jc w:val="left"/>
            </w:pPr>
            <w:r>
              <w:t>HE-only</w:t>
            </w:r>
          </w:p>
        </w:tc>
        <w:tc>
          <w:tcPr>
            <w:tcW w:w="503" w:type="dxa"/>
            <w:vAlign w:val="center"/>
          </w:tcPr>
          <w:p w14:paraId="0FE494C4">
            <w:pPr>
              <w:pStyle w:val="84"/>
              <w:jc w:val="center"/>
            </w:pPr>
            <w:r>
              <w:t>00</w:t>
            </w:r>
          </w:p>
        </w:tc>
        <w:tc>
          <w:tcPr>
            <w:tcW w:w="1070" w:type="dxa"/>
            <w:vAlign w:val="center"/>
          </w:tcPr>
          <w:p w14:paraId="75042153">
            <w:pPr>
              <w:pStyle w:val="84"/>
              <w:jc w:val="center"/>
            </w:pPr>
            <w:r>
              <w:t>60.59 ± 0.49%</w:t>
            </w:r>
          </w:p>
        </w:tc>
        <w:tc>
          <w:tcPr>
            <w:tcW w:w="881" w:type="dxa"/>
            <w:vAlign w:val="center"/>
          </w:tcPr>
          <w:p w14:paraId="5034F268">
            <w:pPr>
              <w:pStyle w:val="84"/>
              <w:jc w:val="center"/>
            </w:pPr>
            <w:r>
              <w:t>100%</w:t>
            </w:r>
          </w:p>
        </w:tc>
        <w:tc>
          <w:tcPr>
            <w:tcW w:w="1826" w:type="dxa"/>
            <w:vAlign w:val="center"/>
          </w:tcPr>
          <w:p w14:paraId="13ACC8AF">
            <w:pPr>
              <w:pStyle w:val="84"/>
              <w:jc w:val="center"/>
            </w:pPr>
            <w:r>
              <w:t>2 / 2</w:t>
            </w:r>
          </w:p>
        </w:tc>
        <w:tc>
          <w:tcPr>
            <w:tcW w:w="2141" w:type="dxa"/>
            <w:vAlign w:val="center"/>
          </w:tcPr>
          <w:p w14:paraId="667AC023">
            <w:pPr>
              <w:pStyle w:val="84"/>
              <w:jc w:val="center"/>
            </w:pPr>
            <w:r>
              <w:t>1.18 / 0.31 MB</w:t>
            </w:r>
          </w:p>
        </w:tc>
        <w:tc>
          <w:tcPr>
            <w:tcW w:w="881" w:type="dxa"/>
            <w:vAlign w:val="center"/>
          </w:tcPr>
          <w:p w14:paraId="081F5A3E">
            <w:pPr>
              <w:pStyle w:val="84"/>
              <w:jc w:val="center"/>
            </w:pPr>
            <w:r>
              <w:t>17.95 s</w:t>
            </w:r>
          </w:p>
        </w:tc>
        <w:tc>
          <w:tcPr>
            <w:tcW w:w="887" w:type="dxa"/>
            <w:vAlign w:val="center"/>
          </w:tcPr>
          <w:p w14:paraId="180E830B">
            <w:pPr>
              <w:pStyle w:val="84"/>
              <w:jc w:val="center"/>
            </w:pPr>
            <w:r>
              <w:t>0</w:t>
            </w:r>
          </w:p>
        </w:tc>
      </w:tr>
      <w:tr w14:paraId="2F60D1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68DE65CA">
            <w:pPr>
              <w:pStyle w:val="84"/>
              <w:jc w:val="left"/>
            </w:pPr>
            <w:r>
              <w:t>Adaptive（备选）</w:t>
            </w:r>
          </w:p>
        </w:tc>
        <w:tc>
          <w:tcPr>
            <w:tcW w:w="503" w:type="dxa"/>
            <w:vAlign w:val="center"/>
          </w:tcPr>
          <w:p w14:paraId="6C182058">
            <w:pPr>
              <w:pStyle w:val="84"/>
              <w:jc w:val="center"/>
            </w:pPr>
            <w:r>
              <w:t>01</w:t>
            </w:r>
          </w:p>
        </w:tc>
        <w:tc>
          <w:tcPr>
            <w:tcW w:w="1070" w:type="dxa"/>
            <w:vAlign w:val="center"/>
          </w:tcPr>
          <w:p w14:paraId="271A8373">
            <w:pPr>
              <w:pStyle w:val="84"/>
              <w:jc w:val="center"/>
            </w:pPr>
            <w:r>
              <w:t>59.36 ± 0.77%</w:t>
            </w:r>
          </w:p>
        </w:tc>
        <w:tc>
          <w:tcPr>
            <w:tcW w:w="881" w:type="dxa"/>
            <w:vAlign w:val="center"/>
          </w:tcPr>
          <w:p w14:paraId="3846C7AD">
            <w:pPr>
              <w:pStyle w:val="84"/>
              <w:jc w:val="center"/>
            </w:pPr>
            <w:r>
              <w:t>100%</w:t>
            </w:r>
          </w:p>
        </w:tc>
        <w:tc>
          <w:tcPr>
            <w:tcW w:w="1826" w:type="dxa"/>
            <w:vAlign w:val="center"/>
          </w:tcPr>
          <w:p w14:paraId="5996CA22">
            <w:pPr>
              <w:pStyle w:val="84"/>
              <w:jc w:val="center"/>
            </w:pPr>
            <w:r>
              <w:t>3 / 8.0</w:t>
            </w:r>
          </w:p>
        </w:tc>
        <w:tc>
          <w:tcPr>
            <w:tcW w:w="2141" w:type="dxa"/>
            <w:vAlign w:val="center"/>
          </w:tcPr>
          <w:p w14:paraId="082B7A64">
            <w:pPr>
              <w:pStyle w:val="84"/>
              <w:jc w:val="center"/>
            </w:pPr>
            <w:r>
              <w:t>3.15 / 0.58 MB</w:t>
            </w:r>
          </w:p>
        </w:tc>
        <w:tc>
          <w:tcPr>
            <w:tcW w:w="881" w:type="dxa"/>
            <w:vAlign w:val="center"/>
          </w:tcPr>
          <w:p w14:paraId="2A4DC96D">
            <w:pPr>
              <w:pStyle w:val="84"/>
              <w:jc w:val="center"/>
            </w:pPr>
            <w:r>
              <w:t>19.14 s</w:t>
            </w:r>
          </w:p>
        </w:tc>
        <w:tc>
          <w:tcPr>
            <w:tcW w:w="887" w:type="dxa"/>
            <w:vAlign w:val="center"/>
          </w:tcPr>
          <w:p w14:paraId="59C123E7">
            <w:pPr>
              <w:pStyle w:val="84"/>
              <w:jc w:val="center"/>
            </w:pPr>
            <w:r>
              <w:t>10.1 ms</w:t>
            </w:r>
          </w:p>
        </w:tc>
      </w:tr>
      <w:tr w14:paraId="010124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1A9028C4">
            <w:pPr>
              <w:pStyle w:val="84"/>
              <w:jc w:val="left"/>
            </w:pPr>
            <w:r>
              <w:t>Adaptive（选中）</w:t>
            </w:r>
          </w:p>
        </w:tc>
        <w:tc>
          <w:tcPr>
            <w:tcW w:w="503" w:type="dxa"/>
            <w:vAlign w:val="center"/>
          </w:tcPr>
          <w:p w14:paraId="67E5F786">
            <w:pPr>
              <w:pStyle w:val="84"/>
              <w:jc w:val="center"/>
            </w:pPr>
            <w:r>
              <w:t>10</w:t>
            </w:r>
          </w:p>
        </w:tc>
        <w:tc>
          <w:tcPr>
            <w:tcW w:w="1070" w:type="dxa"/>
            <w:vAlign w:val="center"/>
          </w:tcPr>
          <w:p w14:paraId="4CCDD449">
            <w:pPr>
              <w:pStyle w:val="84"/>
              <w:jc w:val="center"/>
            </w:pPr>
            <w:r>
              <w:rPr>
                <w:b/>
                <w:bCs/>
              </w:rPr>
              <w:t>62.80 ± 0.77%</w:t>
            </w:r>
          </w:p>
        </w:tc>
        <w:tc>
          <w:tcPr>
            <w:tcW w:w="881" w:type="dxa"/>
            <w:vAlign w:val="center"/>
          </w:tcPr>
          <w:p w14:paraId="5B53338D">
            <w:pPr>
              <w:pStyle w:val="84"/>
              <w:jc w:val="center"/>
            </w:pPr>
            <w:r>
              <w:t>99.69%</w:t>
            </w:r>
          </w:p>
        </w:tc>
        <w:tc>
          <w:tcPr>
            <w:tcW w:w="1826" w:type="dxa"/>
            <w:vAlign w:val="center"/>
          </w:tcPr>
          <w:p w14:paraId="519EF9E5">
            <w:pPr>
              <w:pStyle w:val="84"/>
              <w:jc w:val="center"/>
            </w:pPr>
            <w:r>
              <w:t>3 / 8.0</w:t>
            </w:r>
          </w:p>
        </w:tc>
        <w:tc>
          <w:tcPr>
            <w:tcW w:w="2141" w:type="dxa"/>
            <w:vAlign w:val="center"/>
          </w:tcPr>
          <w:p w14:paraId="6E078357">
            <w:pPr>
              <w:pStyle w:val="84"/>
              <w:jc w:val="center"/>
            </w:pPr>
            <w:r>
              <w:t>3.15 / 0.57 MB</w:t>
            </w:r>
          </w:p>
        </w:tc>
        <w:tc>
          <w:tcPr>
            <w:tcW w:w="881" w:type="dxa"/>
            <w:vAlign w:val="center"/>
          </w:tcPr>
          <w:p w14:paraId="6C23F8A3">
            <w:pPr>
              <w:pStyle w:val="84"/>
              <w:jc w:val="center"/>
            </w:pPr>
            <w:r>
              <w:t>27.55 s</w:t>
            </w:r>
          </w:p>
        </w:tc>
        <w:tc>
          <w:tcPr>
            <w:tcW w:w="887" w:type="dxa"/>
            <w:vAlign w:val="center"/>
          </w:tcPr>
          <w:p w14:paraId="0106F12F">
            <w:pPr>
              <w:pStyle w:val="84"/>
              <w:jc w:val="center"/>
            </w:pPr>
            <w:r>
              <w:t>14.7 ms</w:t>
            </w:r>
          </w:p>
        </w:tc>
      </w:tr>
      <w:tr w14:paraId="4C8CDE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593E67E1">
            <w:pPr>
              <w:pStyle w:val="84"/>
              <w:jc w:val="left"/>
            </w:pPr>
            <w:r>
              <w:t>Hybrid-all</w:t>
            </w:r>
          </w:p>
        </w:tc>
        <w:tc>
          <w:tcPr>
            <w:tcW w:w="503" w:type="dxa"/>
            <w:vAlign w:val="center"/>
          </w:tcPr>
          <w:p w14:paraId="5140BF38">
            <w:pPr>
              <w:pStyle w:val="84"/>
              <w:jc w:val="center"/>
            </w:pPr>
            <w:r>
              <w:t>11</w:t>
            </w:r>
          </w:p>
        </w:tc>
        <w:tc>
          <w:tcPr>
            <w:tcW w:w="1070" w:type="dxa"/>
            <w:vAlign w:val="center"/>
          </w:tcPr>
          <w:p w14:paraId="4A7DB54E">
            <w:pPr>
              <w:pStyle w:val="84"/>
              <w:jc w:val="center"/>
            </w:pPr>
            <w:r>
              <w:t>58.60 ± 0.46%</w:t>
            </w:r>
          </w:p>
        </w:tc>
        <w:tc>
          <w:tcPr>
            <w:tcW w:w="881" w:type="dxa"/>
            <w:vAlign w:val="center"/>
          </w:tcPr>
          <w:p w14:paraId="7B5626FA">
            <w:pPr>
              <w:pStyle w:val="84"/>
              <w:jc w:val="center"/>
            </w:pPr>
            <w:r>
              <w:t>99.69%</w:t>
            </w:r>
          </w:p>
        </w:tc>
        <w:tc>
          <w:tcPr>
            <w:tcW w:w="1826" w:type="dxa"/>
            <w:vAlign w:val="center"/>
          </w:tcPr>
          <w:p w14:paraId="3400ED58">
            <w:pPr>
              <w:pStyle w:val="84"/>
              <w:jc w:val="center"/>
            </w:pPr>
            <w:r>
              <w:t>4 / 14.1</w:t>
            </w:r>
          </w:p>
        </w:tc>
        <w:tc>
          <w:tcPr>
            <w:tcW w:w="2141" w:type="dxa"/>
            <w:vAlign w:val="center"/>
          </w:tcPr>
          <w:p w14:paraId="24DB02B7">
            <w:pPr>
              <w:pStyle w:val="84"/>
              <w:jc w:val="center"/>
            </w:pPr>
            <w:r>
              <w:t>5.11 / 0.87 MB</w:t>
            </w:r>
          </w:p>
        </w:tc>
        <w:tc>
          <w:tcPr>
            <w:tcW w:w="881" w:type="dxa"/>
            <w:vAlign w:val="center"/>
          </w:tcPr>
          <w:p w14:paraId="0A694C5E">
            <w:pPr>
              <w:pStyle w:val="84"/>
              <w:jc w:val="center"/>
            </w:pPr>
            <w:r>
              <w:t>28.32 s</w:t>
            </w:r>
          </w:p>
        </w:tc>
        <w:tc>
          <w:tcPr>
            <w:tcW w:w="887" w:type="dxa"/>
            <w:vAlign w:val="center"/>
          </w:tcPr>
          <w:p w14:paraId="36BC2227">
            <w:pPr>
              <w:pStyle w:val="84"/>
              <w:jc w:val="center"/>
            </w:pPr>
            <w:r>
              <w:t>24.6 ms</w:t>
            </w:r>
          </w:p>
        </w:tc>
      </w:tr>
    </w:tbl>
    <w:p w14:paraId="506376F2">
      <w:pPr>
        <w:pStyle w:val="83"/>
      </w:pPr>
      <w:r>
        <w:t>注：服务端前向与客户端 SCI 时间为 101 号容器上 5 种子 × 64 样本的均值；字节为 E4 实测线字节（不含 OT）。</w:t>
      </w:r>
    </w:p>
    <w:p w14:paraId="6A105F66">
      <w:pPr>
        <w:pStyle w:val="3"/>
      </w:pPr>
      <w:r>
        <w:rPr>
          <w:b/>
          <w:bCs/>
        </w:rPr>
        <w:t>与 Delphi 对比。</w:t>
      </w:r>
      <w:r>
        <w:t xml:space="preserve"> 我们在桌面机上用官方代码（commit 92bc0071，4 线程，同机回环）复现了 Delphi 的 CIFAR-10 MiniONN 基线。Delphi 的预处理（线性层份额与混淆电路）每次推理都要重新生成，只有 keygen（376.5 ms）可以复用，所以每查询客户端成本按“离线 + 在线”计。表 7-25 并列给出两者的客户端成本。</w:t>
      </w:r>
    </w:p>
    <w:p w14:paraId="656D9763">
      <w:pPr>
        <w:pStyle w:val="44"/>
      </w:pPr>
      <w:r>
        <w:t>表 7-25：每查询客户端成本：LitePI 与 Delphi（桌面机）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868"/>
        <w:gridCol w:w="1594"/>
        <w:gridCol w:w="1099"/>
        <w:gridCol w:w="1649"/>
        <w:gridCol w:w="989"/>
        <w:gridCol w:w="1871"/>
      </w:tblGrid>
      <w:tr w14:paraId="236EB6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868" w:type="dxa"/>
            <w:vAlign w:val="center"/>
          </w:tcPr>
          <w:p w14:paraId="150A2EFE">
            <w:pPr>
              <w:pStyle w:val="84"/>
              <w:jc w:val="left"/>
            </w:pPr>
            <w:r>
              <w:t>系统与配置</w:t>
            </w:r>
          </w:p>
        </w:tc>
        <w:tc>
          <w:tcPr>
            <w:tcW w:w="1594" w:type="dxa"/>
            <w:vAlign w:val="center"/>
          </w:tcPr>
          <w:p w14:paraId="0B5F2B79">
            <w:pPr>
              <w:pStyle w:val="84"/>
              <w:jc w:val="left"/>
            </w:pPr>
            <w:r>
              <w:t>模型（CIFAR-10 明文精度）</w:t>
            </w:r>
          </w:p>
        </w:tc>
        <w:tc>
          <w:tcPr>
            <w:tcW w:w="1099" w:type="dxa"/>
            <w:vAlign w:val="center"/>
          </w:tcPr>
          <w:p w14:paraId="7A27D9E6">
            <w:pPr>
              <w:pStyle w:val="84"/>
              <w:jc w:val="center"/>
            </w:pPr>
            <w:r>
              <w:t>每查询客户端时间</w:t>
            </w:r>
          </w:p>
        </w:tc>
        <w:tc>
          <w:tcPr>
            <w:tcW w:w="1649" w:type="dxa"/>
            <w:vAlign w:val="center"/>
          </w:tcPr>
          <w:p w14:paraId="59B23819">
            <w:pPr>
              <w:pStyle w:val="84"/>
              <w:jc w:val="center"/>
            </w:pPr>
            <w:r>
              <w:t>每查询通信</w:t>
            </w:r>
          </w:p>
        </w:tc>
        <w:tc>
          <w:tcPr>
            <w:tcW w:w="989" w:type="dxa"/>
            <w:vAlign w:val="center"/>
          </w:tcPr>
          <w:p w14:paraId="215B7443">
            <w:pPr>
              <w:pStyle w:val="84"/>
              <w:jc w:val="center"/>
            </w:pPr>
            <w:r>
              <w:t>客户端峰值内存</w:t>
            </w:r>
          </w:p>
        </w:tc>
        <w:tc>
          <w:tcPr>
            <w:tcW w:w="1871" w:type="dxa"/>
            <w:vAlign w:val="center"/>
          </w:tcPr>
          <w:p w14:paraId="0C57BC90">
            <w:pPr>
              <w:pStyle w:val="84"/>
              <w:jc w:val="left"/>
            </w:pPr>
            <w:r>
              <w:t>一次性成本</w:t>
            </w:r>
          </w:p>
        </w:tc>
      </w:tr>
      <w:tr w14:paraId="4B7C1A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68" w:type="dxa"/>
            <w:vAlign w:val="center"/>
          </w:tcPr>
          <w:p w14:paraId="2F310A36">
            <w:pPr>
              <w:pStyle w:val="84"/>
              <w:jc w:val="left"/>
            </w:pPr>
            <w:r>
              <w:t>Delphi，7 层多项式（官方最佳）</w:t>
            </w:r>
          </w:p>
        </w:tc>
        <w:tc>
          <w:tcPr>
            <w:tcW w:w="1594" w:type="dxa"/>
            <w:vAlign w:val="center"/>
          </w:tcPr>
          <w:p w14:paraId="1D3D87B5">
            <w:pPr>
              <w:pStyle w:val="84"/>
              <w:jc w:val="left"/>
            </w:pPr>
            <w:r>
              <w:t>MiniONN（82.95%）</w:t>
            </w:r>
          </w:p>
        </w:tc>
        <w:tc>
          <w:tcPr>
            <w:tcW w:w="1099" w:type="dxa"/>
            <w:vAlign w:val="center"/>
          </w:tcPr>
          <w:p w14:paraId="5A9AC2C1">
            <w:pPr>
              <w:pStyle w:val="84"/>
              <w:jc w:val="center"/>
            </w:pPr>
            <w:r>
              <w:t>19.32 s + 0.81 s</w:t>
            </w:r>
          </w:p>
        </w:tc>
        <w:tc>
          <w:tcPr>
            <w:tcW w:w="1649" w:type="dxa"/>
            <w:vAlign w:val="center"/>
          </w:tcPr>
          <w:p w14:paraId="07DBDA83">
            <w:pPr>
              <w:pStyle w:val="84"/>
              <w:jc w:val="center"/>
            </w:pPr>
            <w:r>
              <w:t>116.4 + 6.9 MiB</w:t>
            </w:r>
          </w:p>
        </w:tc>
        <w:tc>
          <w:tcPr>
            <w:tcW w:w="989" w:type="dxa"/>
            <w:vAlign w:val="center"/>
          </w:tcPr>
          <w:p w14:paraId="369E43B1">
            <w:pPr>
              <w:pStyle w:val="84"/>
              <w:jc w:val="center"/>
            </w:pPr>
            <w:r>
              <w:t>347 MiB</w:t>
            </w:r>
          </w:p>
        </w:tc>
        <w:tc>
          <w:tcPr>
            <w:tcW w:w="1871" w:type="dxa"/>
            <w:vAlign w:val="center"/>
          </w:tcPr>
          <w:p w14:paraId="58D73BF4">
            <w:pPr>
              <w:pStyle w:val="84"/>
              <w:jc w:val="left"/>
            </w:pPr>
            <w:r>
              <w:t>keygen 0.38 s</w:t>
            </w:r>
          </w:p>
        </w:tc>
      </w:tr>
      <w:tr w14:paraId="5F8B4B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68" w:type="dxa"/>
            <w:vAlign w:val="center"/>
          </w:tcPr>
          <w:p w14:paraId="6DED94F0">
            <w:pPr>
              <w:pStyle w:val="84"/>
              <w:jc w:val="left"/>
            </w:pPr>
            <w:r>
              <w:t>Delphi，全 ReLU</w:t>
            </w:r>
          </w:p>
        </w:tc>
        <w:tc>
          <w:tcPr>
            <w:tcW w:w="1594" w:type="dxa"/>
            <w:vAlign w:val="center"/>
          </w:tcPr>
          <w:p w14:paraId="1C16876F">
            <w:pPr>
              <w:pStyle w:val="84"/>
              <w:jc w:val="left"/>
            </w:pPr>
            <w:r>
              <w:t>MiniONN</w:t>
            </w:r>
          </w:p>
        </w:tc>
        <w:tc>
          <w:tcPr>
            <w:tcW w:w="1099" w:type="dxa"/>
            <w:vAlign w:val="center"/>
          </w:tcPr>
          <w:p w14:paraId="75DDA07D">
            <w:pPr>
              <w:pStyle w:val="84"/>
              <w:jc w:val="center"/>
            </w:pPr>
            <w:r>
              <w:t>29.26 s + 3.33 s</w:t>
            </w:r>
          </w:p>
        </w:tc>
        <w:tc>
          <w:tcPr>
            <w:tcW w:w="1649" w:type="dxa"/>
            <w:vAlign w:val="center"/>
          </w:tcPr>
          <w:p w14:paraId="559F5E93">
            <w:pPr>
              <w:pStyle w:val="84"/>
              <w:jc w:val="center"/>
            </w:pPr>
            <w:r>
              <w:t>3,240 + 196 MiB</w:t>
            </w:r>
          </w:p>
        </w:tc>
        <w:tc>
          <w:tcPr>
            <w:tcW w:w="989" w:type="dxa"/>
            <w:vAlign w:val="center"/>
          </w:tcPr>
          <w:p w14:paraId="340FD0B7">
            <w:pPr>
              <w:pStyle w:val="84"/>
              <w:jc w:val="center"/>
            </w:pPr>
            <w:r>
              <w:t>2,911 MiB</w:t>
            </w:r>
          </w:p>
        </w:tc>
        <w:tc>
          <w:tcPr>
            <w:tcW w:w="1871" w:type="dxa"/>
            <w:vAlign w:val="center"/>
          </w:tcPr>
          <w:p w14:paraId="2C468771">
            <w:pPr>
              <w:pStyle w:val="84"/>
              <w:jc w:val="left"/>
            </w:pPr>
            <w:r>
              <w:t>keygen 0.38 s</w:t>
            </w:r>
          </w:p>
        </w:tc>
      </w:tr>
      <w:tr w14:paraId="4532D1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68" w:type="dxa"/>
            <w:vAlign w:val="center"/>
          </w:tcPr>
          <w:p w14:paraId="48481C85">
            <w:pPr>
              <w:pStyle w:val="84"/>
              <w:jc w:val="left"/>
            </w:pPr>
            <w:r>
              <w:t>LitePI，</w:t>
            </w:r>
            <w:r>
              <w:rPr>
                <w:i/>
                <w:iCs/>
              </w:rPr>
              <w:t>s</w:t>
            </w:r>
            <w:r>
              <w:t xml:space="preserve"> = 00</w:t>
            </w:r>
          </w:p>
        </w:tc>
        <w:tc>
          <w:tcPr>
            <w:tcW w:w="1594" w:type="dxa"/>
            <w:vAlign w:val="center"/>
          </w:tcPr>
          <w:p w14:paraId="6E3E52A4">
            <w:pPr>
              <w:pStyle w:val="84"/>
              <w:jc w:val="left"/>
            </w:pPr>
            <w:r>
              <w:t>canonical（60.59%）</w:t>
            </w:r>
          </w:p>
        </w:tc>
        <w:tc>
          <w:tcPr>
            <w:tcW w:w="1099" w:type="dxa"/>
            <w:vAlign w:val="center"/>
          </w:tcPr>
          <w:p w14:paraId="5F10D81B">
            <w:pPr>
              <w:pStyle w:val="84"/>
              <w:jc w:val="center"/>
            </w:pPr>
            <w:r>
              <w:t>约 10 ms 计算</w:t>
            </w:r>
          </w:p>
        </w:tc>
        <w:tc>
          <w:tcPr>
            <w:tcW w:w="1649" w:type="dxa"/>
            <w:vAlign w:val="center"/>
          </w:tcPr>
          <w:p w14:paraId="5259EE9F">
            <w:pPr>
              <w:pStyle w:val="84"/>
              <w:jc w:val="center"/>
            </w:pPr>
            <w:r>
              <w:t>1.18 MB（compact 0.31 MB）</w:t>
            </w:r>
          </w:p>
        </w:tc>
        <w:tc>
          <w:tcPr>
            <w:tcW w:w="989" w:type="dxa"/>
            <w:vAlign w:val="center"/>
          </w:tcPr>
          <w:p w14:paraId="58070FE0">
            <w:pPr>
              <w:pStyle w:val="84"/>
              <w:jc w:val="center"/>
            </w:pPr>
            <w:r>
              <w:t>约 112 MB</w:t>
            </w:r>
          </w:p>
        </w:tc>
        <w:tc>
          <w:tcPr>
            <w:tcW w:w="1871" w:type="dxa"/>
            <w:vAlign w:val="center"/>
          </w:tcPr>
          <w:p w14:paraId="570776EA">
            <w:pPr>
              <w:pStyle w:val="84"/>
              <w:jc w:val="left"/>
            </w:pPr>
            <w:r>
              <w:t>密钥 184.6 MB（compact 47.7 MB）</w:t>
            </w:r>
          </w:p>
        </w:tc>
      </w:tr>
      <w:tr w14:paraId="320A9A6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68" w:type="dxa"/>
            <w:vAlign w:val="center"/>
          </w:tcPr>
          <w:p w14:paraId="72D037E5">
            <w:pPr>
              <w:pStyle w:val="84"/>
              <w:jc w:val="left"/>
            </w:pPr>
            <w:r>
              <w:t>LitePI，</w:t>
            </w:r>
            <w:r>
              <w:rPr>
                <w:i/>
                <w:iCs/>
              </w:rPr>
              <w:t>s</w:t>
            </w:r>
            <w:r>
              <w:t xml:space="preserve"> = 11</w:t>
            </w:r>
          </w:p>
        </w:tc>
        <w:tc>
          <w:tcPr>
            <w:tcW w:w="1594" w:type="dxa"/>
            <w:vAlign w:val="center"/>
          </w:tcPr>
          <w:p w14:paraId="326260B0">
            <w:pPr>
              <w:pStyle w:val="84"/>
              <w:jc w:val="left"/>
            </w:pPr>
            <w:r>
              <w:t>canonical（58.60%）</w:t>
            </w:r>
          </w:p>
        </w:tc>
        <w:tc>
          <w:tcPr>
            <w:tcW w:w="1099" w:type="dxa"/>
            <w:vAlign w:val="center"/>
          </w:tcPr>
          <w:p w14:paraId="14B4E04B">
            <w:pPr>
              <w:pStyle w:val="84"/>
              <w:jc w:val="center"/>
            </w:pPr>
            <w:r>
              <w:t>约 52 ms 计算</w:t>
            </w:r>
          </w:p>
        </w:tc>
        <w:tc>
          <w:tcPr>
            <w:tcW w:w="1649" w:type="dxa"/>
            <w:vAlign w:val="center"/>
          </w:tcPr>
          <w:p w14:paraId="3DAB1CD5">
            <w:pPr>
              <w:pStyle w:val="84"/>
              <w:jc w:val="center"/>
            </w:pPr>
            <w:r>
              <w:t>5.11 MB（compact 0.87 MB）</w:t>
            </w:r>
          </w:p>
        </w:tc>
        <w:tc>
          <w:tcPr>
            <w:tcW w:w="989" w:type="dxa"/>
            <w:vAlign w:val="center"/>
          </w:tcPr>
          <w:p w14:paraId="23A0224C">
            <w:pPr>
              <w:pStyle w:val="84"/>
              <w:jc w:val="center"/>
            </w:pPr>
            <w:r>
              <w:t>约 111 MB</w:t>
            </w:r>
          </w:p>
        </w:tc>
        <w:tc>
          <w:tcPr>
            <w:tcW w:w="1871" w:type="dxa"/>
            <w:vAlign w:val="center"/>
          </w:tcPr>
          <w:p w14:paraId="0BE56A99">
            <w:pPr>
              <w:pStyle w:val="84"/>
              <w:jc w:val="left"/>
            </w:pPr>
            <w:r>
              <w:t>同上</w:t>
            </w:r>
          </w:p>
        </w:tc>
      </w:tr>
    </w:tbl>
    <w:p w14:paraId="3B08D1F8">
      <w:pPr>
        <w:pStyle w:val="83"/>
      </w:pPr>
      <w:r>
        <w:t>注：Delphi 的客户端时间为墙钟时间，其中离线阶段大部分在等待服务端的线性层预处理。LitePI 客户端时间为成本模型的客户端计算时间（不含等待服务端）；内存为 MNIST 流式密钥实测（表 7-9）。两者模型、HE 方案（BFV 对 CKKS）均不同，只能做系统级对比；在同一模型上运行 Delphi 的对照【待补】。</w:t>
      </w:r>
    </w:p>
    <w:p w14:paraId="3F7B6C3F">
      <w:pPr>
        <w:pStyle w:val="3"/>
      </w:pPr>
      <w:r>
        <w:t>在客户端侧，LitePI 每查询的通信量比 Delphi 最佳配置低两个数量级（0.31–1.18 MB 对 123 MiB），客户端内存约为其 1/3，且没有按查询线性消耗的预处理。但 LitePI 的端到端延迟目前由服务端密文前向主导（canonical CIFAR-10 上 18–28 s），远高于 Delphi 的在线 0.81 s；所用模型的精度（约 60%）也低于 MiniONN（82.95%）。因此，现有证据只支持“客户端更轻”，不支持“整体更快”或“同精度下更优”。</w:t>
      </w:r>
    </w:p>
    <w:p w14:paraId="5BB74506">
      <w:pPr>
        <w:pStyle w:val="3"/>
      </w:pPr>
      <w:r>
        <w:t>表 7-26 从协议结构上比较客户端在每个非线性层的参与方式。</w:t>
      </w:r>
    </w:p>
    <w:p w14:paraId="69F1BB55">
      <w:pPr>
        <w:pStyle w:val="44"/>
      </w:pPr>
      <w:r>
        <w:t>表 7-26：客户端视角的协议结构对比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31"/>
        <w:gridCol w:w="1305"/>
        <w:gridCol w:w="2218"/>
        <w:gridCol w:w="2218"/>
        <w:gridCol w:w="1698"/>
      </w:tblGrid>
      <w:tr w14:paraId="34621C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631" w:type="dxa"/>
            <w:vAlign w:val="center"/>
          </w:tcPr>
          <w:p w14:paraId="1B0C754F">
            <w:pPr>
              <w:pStyle w:val="84"/>
              <w:jc w:val="left"/>
            </w:pPr>
            <w:r>
              <w:t>维度</w:t>
            </w:r>
          </w:p>
        </w:tc>
        <w:tc>
          <w:tcPr>
            <w:tcW w:w="1305" w:type="dxa"/>
            <w:vAlign w:val="center"/>
          </w:tcPr>
          <w:p w14:paraId="0B52900C">
            <w:pPr>
              <w:pStyle w:val="84"/>
              <w:jc w:val="center"/>
            </w:pPr>
            <w:r>
              <w:t>LitePI（</w:t>
            </w:r>
            <w:r>
              <w:rPr>
                <w:i/>
                <w:iCs/>
              </w:rPr>
              <w:t>s</w:t>
            </w:r>
            <w:r>
              <w:t xml:space="preserve"> = 00）</w:t>
            </w:r>
          </w:p>
        </w:tc>
        <w:tc>
          <w:tcPr>
            <w:tcW w:w="2218" w:type="dxa"/>
            <w:vAlign w:val="center"/>
          </w:tcPr>
          <w:p w14:paraId="3D0BD91B">
            <w:pPr>
              <w:pStyle w:val="84"/>
              <w:jc w:val="center"/>
            </w:pPr>
            <w:r>
              <w:t>LitePI（每个 Hybrid 层）</w:t>
            </w:r>
          </w:p>
        </w:tc>
        <w:tc>
          <w:tcPr>
            <w:tcW w:w="2218" w:type="dxa"/>
            <w:vAlign w:val="center"/>
          </w:tcPr>
          <w:p w14:paraId="0F557FEA">
            <w:pPr>
              <w:pStyle w:val="84"/>
              <w:jc w:val="center"/>
            </w:pPr>
            <w:r>
              <w:t>Delphi（GC 路线）</w:t>
            </w:r>
          </w:p>
        </w:tc>
        <w:tc>
          <w:tcPr>
            <w:tcW w:w="1698" w:type="dxa"/>
            <w:vAlign w:val="center"/>
          </w:tcPr>
          <w:p w14:paraId="291B73F2">
            <w:pPr>
              <w:pStyle w:val="84"/>
              <w:jc w:val="center"/>
            </w:pPr>
            <w:r>
              <w:t>GAZELLE / Cheetah</w:t>
            </w:r>
          </w:p>
        </w:tc>
      </w:tr>
      <w:tr w14:paraId="565021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664E6375">
            <w:pPr>
              <w:pStyle w:val="84"/>
              <w:jc w:val="left"/>
            </w:pPr>
            <w:r>
              <w:t>服务器数量 / 信任假设</w:t>
            </w:r>
          </w:p>
        </w:tc>
        <w:tc>
          <w:tcPr>
            <w:tcW w:w="1305" w:type="dxa"/>
            <w:vAlign w:val="center"/>
          </w:tcPr>
          <w:p w14:paraId="72FDEDE5">
            <w:pPr>
              <w:pStyle w:val="84"/>
              <w:jc w:val="center"/>
            </w:pPr>
            <w:r>
              <w:t>单服务器，半诚实</w:t>
            </w:r>
          </w:p>
        </w:tc>
        <w:tc>
          <w:tcPr>
            <w:tcW w:w="2218" w:type="dxa"/>
            <w:vAlign w:val="center"/>
          </w:tcPr>
          <w:p w14:paraId="11DA6262">
            <w:pPr>
              <w:pStyle w:val="84"/>
              <w:jc w:val="center"/>
            </w:pPr>
            <w:r>
              <w:t>单服务器，半诚实</w:t>
            </w:r>
          </w:p>
        </w:tc>
        <w:tc>
          <w:tcPr>
            <w:tcW w:w="2218" w:type="dxa"/>
            <w:vAlign w:val="center"/>
          </w:tcPr>
          <w:p w14:paraId="119849EB">
            <w:pPr>
              <w:pStyle w:val="84"/>
              <w:jc w:val="center"/>
            </w:pPr>
            <w:r>
              <w:t>单服务器，半诚实</w:t>
            </w:r>
          </w:p>
        </w:tc>
        <w:tc>
          <w:tcPr>
            <w:tcW w:w="1698" w:type="dxa"/>
            <w:vAlign w:val="center"/>
          </w:tcPr>
          <w:p w14:paraId="713831EF">
            <w:pPr>
              <w:pStyle w:val="84"/>
              <w:jc w:val="center"/>
            </w:pPr>
            <w:r>
              <w:t>单服务器，半诚实</w:t>
            </w:r>
          </w:p>
        </w:tc>
      </w:tr>
      <w:tr w14:paraId="142AD6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606AB743">
            <w:pPr>
              <w:pStyle w:val="84"/>
              <w:jc w:val="left"/>
            </w:pPr>
            <w:r>
              <w:t>在线往返</w:t>
            </w:r>
          </w:p>
        </w:tc>
        <w:tc>
          <w:tcPr>
            <w:tcW w:w="1305" w:type="dxa"/>
            <w:vAlign w:val="center"/>
          </w:tcPr>
          <w:p w14:paraId="022DDB13">
            <w:pPr>
              <w:pStyle w:val="84"/>
              <w:jc w:val="center"/>
            </w:pPr>
            <w:r>
              <w:t>2</w:t>
            </w:r>
          </w:p>
        </w:tc>
        <w:tc>
          <w:tcPr>
            <w:tcW w:w="2218" w:type="dxa"/>
            <w:vAlign w:val="center"/>
          </w:tcPr>
          <w:p w14:paraId="3314019D">
            <w:pPr>
              <w:pStyle w:val="84"/>
              <w:jc w:val="center"/>
            </w:pPr>
            <w:r>
              <w:t>主通道 +1，端到端实测 +6.02</w:t>
            </w:r>
          </w:p>
        </w:tc>
        <w:tc>
          <w:tcPr>
            <w:tcW w:w="2218" w:type="dxa"/>
            <w:vAlign w:val="center"/>
          </w:tcPr>
          <w:p w14:paraId="6CE736CC">
            <w:pPr>
              <w:pStyle w:val="84"/>
              <w:jc w:val="center"/>
            </w:pPr>
            <w:r>
              <w:t>每 ReLU 层 +1（另有逐查询预处理）</w:t>
            </w:r>
          </w:p>
        </w:tc>
        <w:tc>
          <w:tcPr>
            <w:tcW w:w="1698" w:type="dxa"/>
            <w:vAlign w:val="center"/>
          </w:tcPr>
          <w:p w14:paraId="5DDDC708">
            <w:pPr>
              <w:pStyle w:val="84"/>
              <w:jc w:val="center"/>
            </w:pPr>
            <w:r>
              <w:t>每 ReLU 层 ≥ 1</w:t>
            </w:r>
          </w:p>
        </w:tc>
      </w:tr>
      <w:tr w14:paraId="744DA3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74703257">
            <w:pPr>
              <w:pStyle w:val="84"/>
              <w:jc w:val="left"/>
            </w:pPr>
            <w:r>
              <w:t>客户端每层计算</w:t>
            </w:r>
          </w:p>
        </w:tc>
        <w:tc>
          <w:tcPr>
            <w:tcW w:w="1305" w:type="dxa"/>
            <w:vAlign w:val="center"/>
          </w:tcPr>
          <w:p w14:paraId="1A12BA0B">
            <w:pPr>
              <w:pStyle w:val="84"/>
              <w:jc w:val="center"/>
            </w:pPr>
            <w:r>
              <w:t>0</w:t>
            </w:r>
          </w:p>
        </w:tc>
        <w:tc>
          <w:tcPr>
            <w:tcW w:w="2218" w:type="dxa"/>
            <w:vAlign w:val="center"/>
          </w:tcPr>
          <w:p w14:paraId="1AE086E0">
            <w:pPr>
              <w:pStyle w:val="84"/>
              <w:jc w:val="center"/>
            </w:pPr>
            <w:r>
              <w:t>1 次解密 + SCI ReLU + 1 次再加密</w:t>
            </w:r>
          </w:p>
        </w:tc>
        <w:tc>
          <w:tcPr>
            <w:tcW w:w="2218" w:type="dxa"/>
            <w:vAlign w:val="center"/>
          </w:tcPr>
          <w:p w14:paraId="42EBF367">
            <w:pPr>
              <w:pStyle w:val="84"/>
              <w:jc w:val="center"/>
            </w:pPr>
            <w:r>
              <w:t>OT + GC 运算</w:t>
            </w:r>
          </w:p>
        </w:tc>
        <w:tc>
          <w:tcPr>
            <w:tcW w:w="1698" w:type="dxa"/>
            <w:vAlign w:val="center"/>
          </w:tcPr>
          <w:p w14:paraId="09377AC2">
            <w:pPr>
              <w:pStyle w:val="84"/>
              <w:jc w:val="center"/>
            </w:pPr>
            <w:r>
              <w:t>OT + GC / 秘密共享运算</w:t>
            </w:r>
          </w:p>
        </w:tc>
      </w:tr>
      <w:tr w14:paraId="13CDE2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535EE0A3">
            <w:pPr>
              <w:pStyle w:val="84"/>
              <w:jc w:val="left"/>
            </w:pPr>
            <w:r>
              <w:t>客户端参与混淆电路</w:t>
            </w:r>
          </w:p>
        </w:tc>
        <w:tc>
          <w:tcPr>
            <w:tcW w:w="1305" w:type="dxa"/>
            <w:vAlign w:val="center"/>
          </w:tcPr>
          <w:p w14:paraId="3EDCE3EC">
            <w:pPr>
              <w:pStyle w:val="84"/>
              <w:jc w:val="center"/>
            </w:pPr>
            <w:r>
              <w:t>否</w:t>
            </w:r>
          </w:p>
        </w:tc>
        <w:tc>
          <w:tcPr>
            <w:tcW w:w="2218" w:type="dxa"/>
            <w:vAlign w:val="center"/>
          </w:tcPr>
          <w:p w14:paraId="76B77F8B">
            <w:pPr>
              <w:pStyle w:val="84"/>
              <w:jc w:val="center"/>
            </w:pPr>
            <w:r>
              <w:t>否</w:t>
            </w:r>
          </w:p>
        </w:tc>
        <w:tc>
          <w:tcPr>
            <w:tcW w:w="2218" w:type="dxa"/>
            <w:vAlign w:val="center"/>
          </w:tcPr>
          <w:p w14:paraId="66E0C73C">
            <w:pPr>
              <w:pStyle w:val="84"/>
              <w:jc w:val="center"/>
            </w:pPr>
            <w:r>
              <w:t>是</w:t>
            </w:r>
          </w:p>
        </w:tc>
        <w:tc>
          <w:tcPr>
            <w:tcW w:w="1698" w:type="dxa"/>
            <w:vAlign w:val="center"/>
          </w:tcPr>
          <w:p w14:paraId="0ABE12AD">
            <w:pPr>
              <w:pStyle w:val="84"/>
              <w:jc w:val="center"/>
            </w:pPr>
            <w:r>
              <w:t>GAZELLE 是；Cheetah 否</w:t>
            </w:r>
          </w:p>
        </w:tc>
      </w:tr>
      <w:tr w14:paraId="2DEB3D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63D88CD1">
            <w:pPr>
              <w:pStyle w:val="84"/>
              <w:jc w:val="left"/>
            </w:pPr>
            <w:r>
              <w:t>全零交互回退</w:t>
            </w:r>
          </w:p>
        </w:tc>
        <w:tc>
          <w:tcPr>
            <w:tcW w:w="1305" w:type="dxa"/>
            <w:vAlign w:val="center"/>
          </w:tcPr>
          <w:p w14:paraId="4BEE8735">
            <w:pPr>
              <w:pStyle w:val="84"/>
              <w:jc w:val="center"/>
            </w:pPr>
            <w:r>
              <w:t>有</w:t>
            </w:r>
          </w:p>
        </w:tc>
        <w:tc>
          <w:tcPr>
            <w:tcW w:w="2218" w:type="dxa"/>
            <w:vAlign w:val="center"/>
          </w:tcPr>
          <w:p w14:paraId="3048B10C">
            <w:pPr>
              <w:pStyle w:val="84"/>
              <w:jc w:val="center"/>
            </w:pPr>
            <w:r>
              <w:t>—</w:t>
            </w:r>
          </w:p>
        </w:tc>
        <w:tc>
          <w:tcPr>
            <w:tcW w:w="2218" w:type="dxa"/>
            <w:vAlign w:val="center"/>
          </w:tcPr>
          <w:p w14:paraId="529F31E1">
            <w:pPr>
              <w:pStyle w:val="84"/>
              <w:jc w:val="center"/>
            </w:pPr>
            <w:r>
              <w:t>有（全多项式激活）</w:t>
            </w:r>
          </w:p>
        </w:tc>
        <w:tc>
          <w:tcPr>
            <w:tcW w:w="1698" w:type="dxa"/>
            <w:vAlign w:val="center"/>
          </w:tcPr>
          <w:p w14:paraId="709B50CD">
            <w:pPr>
              <w:pStyle w:val="84"/>
              <w:jc w:val="center"/>
            </w:pPr>
            <w:r>
              <w:t>无</w:t>
            </w:r>
          </w:p>
        </w:tc>
      </w:tr>
      <w:tr w14:paraId="2413B1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7614BA4A">
            <w:pPr>
              <w:pStyle w:val="84"/>
              <w:jc w:val="left"/>
            </w:pPr>
            <w:r>
              <w:t>多查询掩码规则</w:t>
            </w:r>
          </w:p>
        </w:tc>
        <w:tc>
          <w:tcPr>
            <w:tcW w:w="1305" w:type="dxa"/>
            <w:vAlign w:val="center"/>
          </w:tcPr>
          <w:p w14:paraId="3D29EADC">
            <w:pPr>
              <w:pStyle w:val="84"/>
              <w:jc w:val="center"/>
            </w:pPr>
            <w:r>
              <w:t>M1–M3</w:t>
            </w:r>
          </w:p>
        </w:tc>
        <w:tc>
          <w:tcPr>
            <w:tcW w:w="2218" w:type="dxa"/>
            <w:vAlign w:val="center"/>
          </w:tcPr>
          <w:p w14:paraId="6D215C85">
            <w:pPr>
              <w:pStyle w:val="84"/>
              <w:jc w:val="center"/>
            </w:pPr>
            <w:r>
              <w:t>M1–M3（统计安全，见表 7-20）</w:t>
            </w:r>
          </w:p>
        </w:tc>
        <w:tc>
          <w:tcPr>
            <w:tcW w:w="2218" w:type="dxa"/>
            <w:vAlign w:val="center"/>
          </w:tcPr>
          <w:p w14:paraId="184D0BED">
            <w:pPr>
              <w:pStyle w:val="84"/>
              <w:jc w:val="center"/>
            </w:pPr>
            <w:r>
              <w:t>未显式规定</w:t>
            </w:r>
          </w:p>
        </w:tc>
        <w:tc>
          <w:tcPr>
            <w:tcW w:w="1698" w:type="dxa"/>
            <w:vAlign w:val="center"/>
          </w:tcPr>
          <w:p w14:paraId="0945EDF4">
            <w:pPr>
              <w:pStyle w:val="84"/>
              <w:jc w:val="center"/>
            </w:pPr>
            <w:r>
              <w:t>未显式规定</w:t>
            </w:r>
          </w:p>
        </w:tc>
      </w:tr>
      <w:bookmarkEnd w:id="40"/>
    </w:tbl>
    <w:p w14:paraId="64A160DE">
      <w:pPr>
        <w:pStyle w:val="5"/>
      </w:pPr>
      <w:bookmarkStart w:id="41" w:name="小结与待补实验"/>
      <w:r>
        <w:t>7.8 小结与待补实验</w:t>
      </w:r>
    </w:p>
    <w:p w14:paraId="6FEF0BDA">
      <w:pPr>
        <w:pStyle w:val="23"/>
      </w:pPr>
      <w:r>
        <w:t>本章的实测结果支持以下结论：（1）在两非线性层网络上，训练期采用 P</w:t>
      </w:r>
      <w:r>
        <w:rPr>
          <w:vertAlign w:val="subscript"/>
        </w:rPr>
        <w:t>2</w:t>
      </w:r>
      <w:r>
        <w:t xml:space="preserve"> 不损失精度，密文推理与明文的一致率为 99.69%–100%；（2）HE-only 查询在 Pi 5 上的客户端在线计算约 20 ms，流式密钥使客户端峰值内存降到约 110 MB，compact 线格式使每查询字节降到 0.31–0.87 MB；（3）网络加深后 ReLU 相对 P</w:t>
      </w:r>
      <w:r>
        <w:rPr>
          <w:vertAlign w:val="subscript"/>
        </w:rPr>
        <w:t>2</w:t>
      </w:r>
      <w:r>
        <w:t xml:space="preserve"> 的优势扩大到 6 个百分点，且超出 HE-only 的乘法深度预算，planner 在深网上（模型预测）可把 MPC 元素减少 80%–90%。当前的主要短板有三点：端到端每个 Hybrid 层约 6 个往返（设计目标为 1）；M2 的统计强度只有每查询 2</w:t>
      </w:r>
      <w:r>
        <w:rPr>
          <w:vertAlign w:val="superscript"/>
        </w:rPr>
        <w:t>−28</w:t>
      </w:r>
      <w:r>
        <w:t>–2</w:t>
      </w:r>
      <w:r>
        <w:rPr>
          <w:vertAlign w:val="superscript"/>
        </w:rPr>
        <w:t>−30</w:t>
      </w:r>
      <w:r>
        <w:t>；深层网络尚无密文实现，服务端前向耗时为十秒级。投稿前需要补齐的实验见表 7-27。</w:t>
      </w:r>
    </w:p>
    <w:p w14:paraId="21326EC7">
      <w:pPr>
        <w:pStyle w:val="44"/>
      </w:pPr>
      <w:r>
        <w:t>表 7-27：待补实验清单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760"/>
        <w:gridCol w:w="1548"/>
        <w:gridCol w:w="3762"/>
      </w:tblGrid>
      <w:tr w14:paraId="1B0CE9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760" w:type="dxa"/>
            <w:vAlign w:val="center"/>
          </w:tcPr>
          <w:p w14:paraId="0217D97E">
            <w:pPr>
              <w:pStyle w:val="84"/>
              <w:jc w:val="left"/>
            </w:pPr>
            <w:r>
              <w:t>待补项</w:t>
            </w:r>
          </w:p>
        </w:tc>
        <w:tc>
          <w:tcPr>
            <w:tcW w:w="1548" w:type="dxa"/>
            <w:vAlign w:val="center"/>
          </w:tcPr>
          <w:p w14:paraId="5FF19E2A">
            <w:pPr>
              <w:pStyle w:val="84"/>
              <w:jc w:val="center"/>
            </w:pPr>
            <w:r>
              <w:t>对应小节</w:t>
            </w:r>
          </w:p>
        </w:tc>
        <w:tc>
          <w:tcPr>
            <w:tcW w:w="3762" w:type="dxa"/>
            <w:vAlign w:val="center"/>
          </w:tcPr>
          <w:p w14:paraId="6E7C29CF">
            <w:pPr>
              <w:pStyle w:val="84"/>
              <w:jc w:val="left"/>
            </w:pPr>
            <w:r>
              <w:t>用途</w:t>
            </w:r>
          </w:p>
        </w:tc>
      </w:tr>
      <w:tr w14:paraId="323AF2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6443283F">
            <w:pPr>
              <w:pStyle w:val="84"/>
              <w:jc w:val="left"/>
            </w:pPr>
            <w:r>
              <w:t>深层网络（P</w:t>
            </w:r>
            <w:r>
              <w:rPr>
                <w:vertAlign w:val="subscript"/>
              </w:rPr>
              <w:t>2</w:t>
            </w:r>
            <w:r>
              <w:t xml:space="preserve"> → 卷积、中等深度对齐模型）的密文实现与一致率</w:t>
            </w:r>
          </w:p>
        </w:tc>
        <w:tc>
          <w:tcPr>
            <w:tcW w:w="1548" w:type="dxa"/>
            <w:vAlign w:val="center"/>
          </w:tcPr>
          <w:p w14:paraId="6EDFEB21">
            <w:pPr>
              <w:pStyle w:val="84"/>
              <w:jc w:val="center"/>
            </w:pPr>
            <w:r>
              <w:t>§7.2、§7.5</w:t>
            </w:r>
          </w:p>
        </w:tc>
        <w:tc>
          <w:tcPr>
            <w:tcW w:w="3762" w:type="dxa"/>
            <w:vAlign w:val="center"/>
          </w:tcPr>
          <w:p w14:paraId="2912501C">
            <w:pPr>
              <w:pStyle w:val="84"/>
              <w:jc w:val="left"/>
            </w:pPr>
            <w:r>
              <w:t>让深网结论有密文证据，使 planner 选出的调度可执行</w:t>
            </w:r>
          </w:p>
        </w:tc>
      </w:tr>
      <w:tr w14:paraId="40F285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03D560A3">
            <w:pPr>
              <w:pStyle w:val="84"/>
              <w:jc w:val="left"/>
            </w:pPr>
            <w:r>
              <w:t xml:space="preserve">有界比较 ReLU，把端到端 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 xml:space="preserve"> 从 6 降到 3–4 并实测</w:t>
            </w:r>
          </w:p>
        </w:tc>
        <w:tc>
          <w:tcPr>
            <w:tcW w:w="1548" w:type="dxa"/>
            <w:vAlign w:val="center"/>
          </w:tcPr>
          <w:p w14:paraId="36C6A9FD">
            <w:pPr>
              <w:pStyle w:val="84"/>
              <w:jc w:val="center"/>
            </w:pPr>
            <w:r>
              <w:t>§7.4</w:t>
            </w:r>
          </w:p>
        </w:tc>
        <w:tc>
          <w:tcPr>
            <w:tcW w:w="3762" w:type="dxa"/>
            <w:vAlign w:val="center"/>
          </w:tcPr>
          <w:p w14:paraId="28D568CB">
            <w:pPr>
              <w:pStyle w:val="84"/>
              <w:jc w:val="left"/>
            </w:pPr>
            <w:r>
              <w:t>缩小与协议设计的差距</w:t>
            </w:r>
          </w:p>
        </w:tc>
      </w:tr>
      <w:tr w14:paraId="37EC92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39E84A23">
            <w:pPr>
              <w:pStyle w:val="84"/>
              <w:jc w:val="left"/>
            </w:pPr>
            <w:r>
              <w:t>高精度 CKKS 编解码，把 M2 的 σ 从约 37 提高到 60–70</w:t>
            </w:r>
          </w:p>
        </w:tc>
        <w:tc>
          <w:tcPr>
            <w:tcW w:w="1548" w:type="dxa"/>
            <w:vAlign w:val="center"/>
          </w:tcPr>
          <w:p w14:paraId="7E4A9CAE">
            <w:pPr>
              <w:pStyle w:val="84"/>
              <w:jc w:val="center"/>
            </w:pPr>
            <w:r>
              <w:t>§7.6</w:t>
            </w:r>
          </w:p>
        </w:tc>
        <w:tc>
          <w:tcPr>
            <w:tcW w:w="3762" w:type="dxa"/>
            <w:vAlign w:val="center"/>
          </w:tcPr>
          <w:p w14:paraId="68077EF9">
            <w:pPr>
              <w:pStyle w:val="84"/>
              <w:jc w:val="left"/>
            </w:pPr>
            <w:r>
              <w:t>把每查询统计距离提高到 2</w:t>
            </w:r>
            <w:r>
              <w:rPr>
                <w:vertAlign w:val="superscript"/>
              </w:rPr>
              <w:t>−60</w:t>
            </w:r>
            <w:r>
              <w:t xml:space="preserve"> 量级</w:t>
            </w:r>
          </w:p>
        </w:tc>
      </w:tr>
      <w:tr w14:paraId="268B7A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3C49683A">
            <w:pPr>
              <w:pStyle w:val="84"/>
              <w:jc w:val="left"/>
            </w:pPr>
            <w:r>
              <w:t>CIFAR-10 / UCI HAR 的 HE-only 大样本密文精度（随机抽样 ≥ 200）</w:t>
            </w:r>
          </w:p>
        </w:tc>
        <w:tc>
          <w:tcPr>
            <w:tcW w:w="1548" w:type="dxa"/>
            <w:vAlign w:val="center"/>
          </w:tcPr>
          <w:p w14:paraId="32502956">
            <w:pPr>
              <w:pStyle w:val="84"/>
              <w:jc w:val="center"/>
            </w:pPr>
            <w:r>
              <w:t>§7.2</w:t>
            </w:r>
          </w:p>
        </w:tc>
        <w:tc>
          <w:tcPr>
            <w:tcW w:w="3762" w:type="dxa"/>
            <w:vAlign w:val="center"/>
          </w:tcPr>
          <w:p w14:paraId="27BCAD23">
            <w:pPr>
              <w:pStyle w:val="84"/>
              <w:jc w:val="left"/>
            </w:pPr>
            <w:r>
              <w:t>替换按顺序取样的结果</w:t>
            </w:r>
          </w:p>
        </w:tc>
      </w:tr>
      <w:tr w14:paraId="60EB75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715DAC08">
            <w:pPr>
              <w:pStyle w:val="84"/>
              <w:jc w:val="left"/>
            </w:pPr>
            <w:r>
              <w:t>Pi 5 上的流式密钥内存、Hybrid 层开销与真实链路端到端</w:t>
            </w:r>
          </w:p>
        </w:tc>
        <w:tc>
          <w:tcPr>
            <w:tcW w:w="1548" w:type="dxa"/>
            <w:vAlign w:val="center"/>
          </w:tcPr>
          <w:p w14:paraId="4E5D56FF">
            <w:pPr>
              <w:pStyle w:val="84"/>
              <w:jc w:val="center"/>
            </w:pPr>
            <w:r>
              <w:t>§7.3、§7.4</w:t>
            </w:r>
          </w:p>
        </w:tc>
        <w:tc>
          <w:tcPr>
            <w:tcW w:w="3762" w:type="dxa"/>
            <w:vAlign w:val="center"/>
          </w:tcPr>
          <w:p w14:paraId="06D6FB01">
            <w:pPr>
              <w:pStyle w:val="84"/>
              <w:jc w:val="left"/>
            </w:pPr>
            <w:r>
              <w:t>补齐边缘设备上的完整画像</w:t>
            </w:r>
          </w:p>
        </w:tc>
      </w:tr>
      <w:tr w14:paraId="38D01C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7245C46A">
            <w:pPr>
              <w:pStyle w:val="84"/>
              <w:jc w:val="left"/>
            </w:pPr>
            <w:r>
              <w:t>SCI 的 OT 字节计入线字节</w:t>
            </w:r>
          </w:p>
        </w:tc>
        <w:tc>
          <w:tcPr>
            <w:tcW w:w="1548" w:type="dxa"/>
            <w:vAlign w:val="center"/>
          </w:tcPr>
          <w:p w14:paraId="3F89FC2D">
            <w:pPr>
              <w:pStyle w:val="84"/>
              <w:jc w:val="center"/>
            </w:pPr>
            <w:r>
              <w:t>§7.4</w:t>
            </w:r>
          </w:p>
        </w:tc>
        <w:tc>
          <w:tcPr>
            <w:tcW w:w="3762" w:type="dxa"/>
            <w:vAlign w:val="center"/>
          </w:tcPr>
          <w:p w14:paraId="7B2F16BD">
            <w:pPr>
              <w:pStyle w:val="84"/>
              <w:jc w:val="left"/>
            </w:pPr>
            <w:r>
              <w:t>完整的每查询通信量</w:t>
            </w:r>
          </w:p>
        </w:tc>
      </w:tr>
      <w:tr w14:paraId="011990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3BA03404">
            <w:pPr>
              <w:pStyle w:val="84"/>
              <w:jc w:val="left"/>
            </w:pPr>
            <w:r>
              <w:t>修正后的成员推理实验结果入库</w:t>
            </w:r>
          </w:p>
        </w:tc>
        <w:tc>
          <w:tcPr>
            <w:tcW w:w="1548" w:type="dxa"/>
            <w:vAlign w:val="center"/>
          </w:tcPr>
          <w:p w14:paraId="6FED5506">
            <w:pPr>
              <w:pStyle w:val="84"/>
              <w:jc w:val="center"/>
            </w:pPr>
            <w:r>
              <w:t>§7.6</w:t>
            </w:r>
          </w:p>
        </w:tc>
        <w:tc>
          <w:tcPr>
            <w:tcW w:w="3762" w:type="dxa"/>
            <w:vAlign w:val="center"/>
          </w:tcPr>
          <w:p w14:paraId="0B52E26F">
            <w:pPr>
              <w:pStyle w:val="84"/>
              <w:jc w:val="left"/>
            </w:pPr>
            <w:r>
              <w:t>替换本机验证数据</w:t>
            </w:r>
          </w:p>
        </w:tc>
      </w:tr>
      <w:tr w14:paraId="60A1D5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24469134">
            <w:pPr>
              <w:pStyle w:val="84"/>
              <w:jc w:val="left"/>
            </w:pPr>
            <w:r>
              <w:t>能耗实验（E6）</w:t>
            </w:r>
          </w:p>
        </w:tc>
        <w:tc>
          <w:tcPr>
            <w:tcW w:w="1548" w:type="dxa"/>
            <w:vAlign w:val="center"/>
          </w:tcPr>
          <w:p w14:paraId="45BA0E49">
            <w:pPr>
              <w:pStyle w:val="84"/>
              <w:jc w:val="center"/>
            </w:pPr>
            <w:r>
              <w:t>§7.3</w:t>
            </w:r>
          </w:p>
        </w:tc>
        <w:tc>
          <w:tcPr>
            <w:tcW w:w="3762" w:type="dxa"/>
            <w:vAlign w:val="center"/>
          </w:tcPr>
          <w:p w14:paraId="6213E805">
            <w:pPr>
              <w:pStyle w:val="84"/>
              <w:jc w:val="left"/>
            </w:pPr>
            <w:r>
              <w:t>补齐“时间、内存、能耗”三项</w:t>
            </w:r>
          </w:p>
        </w:tc>
      </w:tr>
      <w:tr w14:paraId="504FA7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740AD5F3">
            <w:pPr>
              <w:pStyle w:val="84"/>
              <w:jc w:val="left"/>
            </w:pPr>
            <w:r>
              <w:t>在 LitePI canonical 模型上运行 Delphi</w:t>
            </w:r>
          </w:p>
        </w:tc>
        <w:tc>
          <w:tcPr>
            <w:tcW w:w="1548" w:type="dxa"/>
            <w:vAlign w:val="center"/>
          </w:tcPr>
          <w:p w14:paraId="01DFDAD4">
            <w:pPr>
              <w:pStyle w:val="84"/>
              <w:jc w:val="center"/>
            </w:pPr>
            <w:r>
              <w:t>§7.7</w:t>
            </w:r>
          </w:p>
        </w:tc>
        <w:tc>
          <w:tcPr>
            <w:tcW w:w="3762" w:type="dxa"/>
            <w:vAlign w:val="center"/>
          </w:tcPr>
          <w:p w14:paraId="56BBC503">
            <w:pPr>
              <w:pStyle w:val="84"/>
              <w:jc w:val="left"/>
            </w:pPr>
            <w:r>
              <w:t>同模型、同机器的公平对比</w:t>
            </w:r>
          </w:p>
        </w:tc>
      </w:tr>
      <w:tr w14:paraId="1A7BFE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247DD6EE">
            <w:pPr>
              <w:pStyle w:val="84"/>
              <w:jc w:val="left"/>
            </w:pPr>
            <w:r>
              <w:t>CKKS 参数的 128-bit lattice-estimator 校核</w:t>
            </w:r>
          </w:p>
        </w:tc>
        <w:tc>
          <w:tcPr>
            <w:tcW w:w="1548" w:type="dxa"/>
            <w:vAlign w:val="center"/>
          </w:tcPr>
          <w:p w14:paraId="02E662B3">
            <w:pPr>
              <w:pStyle w:val="84"/>
              <w:jc w:val="center"/>
            </w:pPr>
            <w:r>
              <w:t>§7.1</w:t>
            </w:r>
          </w:p>
        </w:tc>
        <w:tc>
          <w:tcPr>
            <w:tcW w:w="3762" w:type="dxa"/>
            <w:vAlign w:val="center"/>
          </w:tcPr>
          <w:p w14:paraId="78CCDDD5">
            <w:pPr>
              <w:pStyle w:val="84"/>
              <w:jc w:val="left"/>
            </w:pPr>
            <w:r>
              <w:t>安全参数声明</w:t>
            </w:r>
          </w:p>
        </w:tc>
      </w:tr>
    </w:tbl>
    <w:p w14:paraId="2045B8A3">
      <w:pPr>
        <w:pStyle w:val="83"/>
      </w:pPr>
      <w:r>
        <w:t>注：正文中标注【待补】的条目与本表对应，补齐后应同步更新相应表格。</w:t>
      </w:r>
    </w:p>
    <w:bookmarkEnd w:id="0"/>
    <w:bookmarkEnd w:id="33"/>
    <w:bookmarkEnd w:id="41"/>
    <w:sectPr>
      <w:pgSz w:w="11906" w:h="16838"/>
      <w:pgMar w:top="1440" w:right="1418" w:bottom="1440" w:left="1418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CD65E68"/>
    <w:rsid w:val="16AA41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00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240" w:after="240"/>
      <w:jc w:val="center"/>
      <w:outlineLvl w:val="0"/>
    </w:pPr>
    <w:rPr>
      <w:rFonts w:ascii="Times New Roman" w:hAnsi="Times New Roman" w:eastAsia="黑体" w:cs="Times New Roman"/>
      <w:b/>
      <w:color w:val="000000"/>
      <w:sz w:val="32"/>
      <w:szCs w:val="32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360" w:after="120"/>
      <w:jc w:val="left"/>
      <w:outlineLvl w:val="1"/>
    </w:pPr>
    <w:rPr>
      <w:rFonts w:ascii="Times New Roman" w:hAnsi="Times New Roman" w:eastAsia="黑体" w:cs="Times New Roman"/>
      <w:b/>
      <w:color w:val="000000"/>
      <w:sz w:val="30"/>
      <w:szCs w:val="30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240" w:after="80"/>
      <w:jc w:val="left"/>
      <w:outlineLvl w:val="2"/>
    </w:pPr>
    <w:rPr>
      <w:rFonts w:ascii="Times New Roman" w:hAnsi="Times New Roman" w:eastAsia="黑体" w:cs="Times New Roman"/>
      <w:b/>
      <w:color w:val="000000"/>
      <w:sz w:val="24"/>
      <w:szCs w:val="24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160" w:after="60"/>
      <w:jc w:val="left"/>
      <w:outlineLvl w:val="3"/>
    </w:pPr>
    <w:rPr>
      <w:rFonts w:ascii="Times New Roman" w:hAnsi="Times New Roman" w:eastAsia="黑体" w:cs="Times New Roman"/>
      <w:b/>
      <w:color w:val="000000"/>
      <w:sz w:val="21"/>
      <w:szCs w:val="21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60" w:after="60" w:line="300" w:lineRule="auto"/>
      <w:ind w:firstLine="42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="Segoe UI Variable Display" w:hAnsi="Segoe UI Variable Display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20" w:after="20" w:line="280" w:lineRule="auto"/>
      <w:ind w:firstLine="0" w:firstLineChars="0"/>
    </w:pPr>
  </w:style>
  <w:style w:type="character" w:customStyle="1" w:styleId="25">
    <w:name w:val="Title Char"/>
    <w:basedOn w:val="19"/>
    <w:link w:val="15"/>
    <w:qFormat/>
    <w:uiPriority w:val="10"/>
    <w:rPr>
      <w:rFonts w:ascii="Segoe UI Variable Display" w:hAnsi="Segoe UI Variable Display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="Segoe UI Variable Display" w:hAnsi="Segoe UI Variable Display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="Segoe UI Variable Display" w:hAnsi="Segoe UI Variable Display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qFormat/>
    <w:uiPriority w:val="0"/>
    <w:tblPr>
      <w:jc w:val="center"/>
      <w:tblBorders>
        <w:top w:val="single" w:color="000000" w:sz="12" w:space="0"/>
        <w:bottom w:val="single" w:color="000000" w:sz="12" w:space="0"/>
      </w:tblBorders>
      <w:tblCellMar>
        <w:top w:w="20" w:type="dxa"/>
        <w:left w:w="80" w:type="dxa"/>
        <w:bottom w:w="20" w:type="dxa"/>
        <w:right w:w="80" w:type="dxa"/>
      </w:tblCellMar>
    </w:tblPr>
    <w:trPr>
      <w:jc w:val="center"/>
    </w:trPr>
    <w:tblStylePr w:type="firstRow">
      <w:rPr>
        <w:b/>
      </w:rPr>
      <w:tcPr>
        <w:tcBorders>
          <w:bottom w:val="single" w:color="000000" w:sz="6" w:space="0"/>
        </w:tcBorders>
        <w:vAlign w:val="center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  <w:spacing w:before="200" w:after="80"/>
      <w:ind w:firstLine="0" w:firstLineChars="0"/>
      <w:jc w:val="center"/>
    </w:pPr>
    <w:rPr>
      <w:rFonts w:ascii="Times New Roman" w:hAnsi="Times New Roman" w:eastAsia="黑体" w:cs="Times New Roman"/>
      <w:b/>
      <w:i w:val="0"/>
      <w:color w:val="000000"/>
      <w:sz w:val="19"/>
      <w:szCs w:val="19"/>
    </w:r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Segoe UI Variable Display" w:hAnsi="Segoe UI Variable Display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  <w:style w:type="paragraph" w:customStyle="1" w:styleId="83">
    <w:name w:val="Table Note"/>
    <w:qFormat/>
    <w:uiPriority w:val="0"/>
    <w:pPr>
      <w:spacing w:before="40" w:after="160" w:line="260" w:lineRule="auto"/>
      <w:ind w:firstLine="0" w:firstLineChars="0"/>
      <w:jc w:val="both"/>
    </w:pPr>
    <w:rPr>
      <w:rFonts w:ascii="Times New Roman" w:hAnsi="Times New Roman" w:eastAsia="宋体" w:cs="Times New Roman"/>
      <w:color w:val="000000"/>
      <w:sz w:val="17"/>
      <w:szCs w:val="17"/>
      <w:lang w:val="en-US" w:eastAsia="zh-CN" w:bidi="ar-SA"/>
    </w:rPr>
  </w:style>
  <w:style w:type="paragraph" w:customStyle="1" w:styleId="84">
    <w:name w:val="Table Text"/>
    <w:basedOn w:val="1"/>
    <w:qFormat/>
    <w:uiPriority w:val="0"/>
    <w:pPr>
      <w:spacing w:before="30" w:after="30" w:line="240" w:lineRule="auto"/>
      <w:ind w:firstLine="0" w:firstLineChars="0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2776</Words>
  <Characters>4075</Characters>
  <Lines>12</Lines>
  <Paragraphs>8</Paragraphs>
  <TotalTime>61</TotalTime>
  <ScaleCrop>false</ScaleCrop>
  <LinksUpToDate>false</LinksUpToDate>
  <CharactersWithSpaces>4320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2026-10-30T08:25:00Z</dcterms:created>
  <dc:creator>WPS_1671886272</dc:creator>
  <cp:lastModifiedBy>WPS_1671886272</cp:lastModifiedBy>
  <dcterms:modified xsi:type="dcterms:W3CDTF">2026-10-30T08:45:47Z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eyJoZGlkIjoiMzEwNTM5NzYwMDRjMzkwZTVkZjY2ODkwMGIxNGU0OTUiLCJ1c2VySWQiOiIxNDUyOTI4MDE1In0=</vt:lpwstr>
  </property>
  <property fmtid="{D5CDD505-2E9C-101B-9397-08002B2CF9AE}" pid="3" name="KSOProductBuildVer">
    <vt:lpwstr>2052-12.1.0.29161</vt:lpwstr>
  </property>
  <property fmtid="{D5CDD505-2E9C-101B-9397-08002B2CF9AE}" pid="4" name="ICV">
    <vt:lpwstr>2F0F09A7FB3F406686E4AED18917066F_12</vt:lpwstr>
  </property>
</Properties>
</file>