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aco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Calibri" w:hAnsi="Calibri"/>
          <w:b/>
          <w:color w:val="1A3A5C"/>
          <w:sz w:val="96"/>
        </w:rPr>
        <w:t>ARGOS</w:t>
      </w:r>
    </w:p>
    <w:p>
      <w:pPr>
        <w:jc w:val="center"/>
      </w:pPr>
      <w:r>
        <w:rPr>
          <w:rFonts w:ascii="Calibri" w:hAnsi="Calibri"/>
          <w:color w:val="2A5A8C"/>
          <w:sz w:val="44"/>
        </w:rPr>
        <w:t>Visual Speech Processing System</w:t>
      </w:r>
    </w:p>
    <w:p>
      <w:pPr>
        <w:jc w:val="center"/>
      </w:pPr>
      <w:r>
        <w:rPr>
          <w:rFonts w:ascii="Calibri" w:hAnsi="Calibri"/>
          <w:color w:val="2A5A8C"/>
          <w:sz w:val="40"/>
        </w:rPr>
        <w:t>The Orchard</w:t>
      </w:r>
    </w:p>
    <w:p/>
    <w:p>
      <w:pPr>
        <w:jc w:val="center"/>
      </w:pPr>
      <w:r>
        <w:rPr>
          <w:rFonts w:ascii="Calibri" w:hAnsi="Calibri"/>
          <w:i/>
          <w:color w:val="3A6A9C"/>
          <w:sz w:val="32"/>
        </w:rPr>
        <w:t>Quarterly Summary — Q2 2026 (April–June)</w:t>
      </w:r>
    </w:p>
    <w:p/>
    <w:p/>
    <w:p>
      <w:pPr>
        <w:jc w:val="center"/>
      </w:pPr>
      <w:r>
        <w:rPr>
          <w:rFonts w:ascii="Calibri" w:hAnsi="Calibri"/>
          <w:b/>
          <w:color w:val="333333"/>
          <w:sz w:val="22"/>
        </w:rPr>
        <w:t xml:space="preserve">Period Covered: </w:t>
      </w:r>
      <w:r>
        <w:rPr>
          <w:rFonts w:ascii="Calibri" w:hAnsi="Calibri"/>
          <w:color w:val="333333"/>
          <w:sz w:val="22"/>
        </w:rPr>
        <w:t>April 1 – June 15, 2026</w:t>
      </w:r>
    </w:p>
    <w:p>
      <w:pPr>
        <w:jc w:val="center"/>
      </w:pPr>
      <w:r>
        <w:rPr>
          <w:rFonts w:ascii="Calibri" w:hAnsi="Calibri"/>
          <w:b/>
          <w:color w:val="333333"/>
          <w:sz w:val="22"/>
        </w:rPr>
        <w:t xml:space="preserve">Prior Snapshot: </w:t>
      </w:r>
      <w:r>
        <w:rPr>
          <w:rFonts w:ascii="Calibri" w:hAnsi="Calibri"/>
          <w:color w:val="333333"/>
          <w:sz w:val="22"/>
        </w:rPr>
        <w:t>Project Summary, March 11, 2026 (Q1)</w:t>
      </w:r>
    </w:p>
    <w:p>
      <w:pPr>
        <w:jc w:val="center"/>
      </w:pPr>
      <w:r>
        <w:rPr>
          <w:rFonts w:ascii="Calibri" w:hAnsi="Calibri"/>
          <w:b/>
          <w:color w:val="333333"/>
          <w:sz w:val="22"/>
        </w:rPr>
        <w:t xml:space="preserve">Project Start: </w:t>
      </w:r>
      <w:r>
        <w:rPr>
          <w:rFonts w:ascii="Calibri" w:hAnsi="Calibri"/>
          <w:color w:val="333333"/>
          <w:sz w:val="22"/>
        </w:rPr>
        <w:t>October 18, 2024</w:t>
      </w:r>
    </w:p>
    <w:p>
      <w:pPr>
        <w:jc w:val="center"/>
      </w:pPr>
      <w:r>
        <w:rPr>
          <w:rFonts w:ascii="Calibri" w:hAnsi="Calibri"/>
          <w:b/>
          <w:color w:val="333333"/>
          <w:sz w:val="22"/>
        </w:rPr>
        <w:t xml:space="preserve">Lead Engineer: </w:t>
      </w:r>
      <w:r>
        <w:rPr>
          <w:rFonts w:ascii="Calibri" w:hAnsi="Calibri"/>
          <w:color w:val="333333"/>
          <w:sz w:val="22"/>
        </w:rPr>
        <w:t>Yoad Oxman</w:t>
      </w:r>
    </w:p>
    <w:p>
      <w:pPr>
        <w:jc w:val="center"/>
      </w:pPr>
      <w:r>
        <w:rPr>
          <w:rFonts w:ascii="Calibri" w:hAnsi="Calibri"/>
          <w:b/>
          <w:color w:val="333333"/>
          <w:sz w:val="22"/>
        </w:rPr>
        <w:t xml:space="preserve">Last Updated: </w:t>
      </w:r>
      <w:r>
        <w:rPr>
          <w:rFonts w:ascii="Calibri" w:hAnsi="Calibri"/>
          <w:color w:val="333333"/>
          <w:sz w:val="22"/>
        </w:rPr>
        <w:t>June 15, 2026</w:t>
      </w:r>
    </w:p>
    <w:p>
      <w:r>
        <w:br w:type="page"/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pStyle w:val="Heading1"/>
      </w:pPr>
      <w:r>
        <w:rPr>
          <w:rFonts w:ascii="Calibri" w:hAnsi="Calibri"/>
          <w:color w:val="1A3A5C"/>
        </w:rPr>
        <w:t>Table of Contents</w:t>
      </w:r>
    </w:p>
    <w:p>
      <w:r>
        <w:fldChar w:fldCharType="begin"/>
        <w:instrText xml:space="preserve"> TOC \o "1-2" \h \z \u </w:instrText>
        <w:fldChar w:fldCharType="separate"/>
      </w:r>
      <w:r>
        <w:rPr>
          <w:rFonts w:ascii="Calibri" w:hAnsi="Calibri"/>
          <w:color w:val="1A3A5C"/>
          <w:sz w:val="22"/>
        </w:rPr>
        <w:t>Part 1. Research &amp; Evaluation</w:t>
        <w:br/>
      </w:r>
      <w:r>
        <w:rPr>
          <w:rFonts w:ascii="Calibri" w:hAnsi="Calibri"/>
          <w:color w:val="1A3A5C"/>
          <w:sz w:val="22"/>
        </w:rPr>
        <w:t>Part 2. Client Engagement &amp; Operations</w:t>
        <w:br/>
      </w:r>
      <w:r>
        <w:rPr>
          <w:rFonts w:ascii="Calibri" w:hAnsi="Calibri"/>
          <w:color w:val="1A3A5C"/>
          <w:sz w:val="22"/>
        </w:rPr>
        <w:t>Part 3. Technical Development</w:t>
        <w:br/>
      </w:r>
      <w:r>
        <w:rPr>
          <w:rFonts w:ascii="Calibri" w:hAnsi="Calibri"/>
          <w:color w:val="1A3A5C"/>
          <w:sz w:val="22"/>
        </w:rPr>
        <w:t>Part 4. Insights, Lessons &amp; Next Quarter</w:t>
        <w:br/>
      </w:r>
      <w:r>
        <w:fldChar w:fldCharType="end"/>
      </w:r>
    </w:p>
    <w:p>
      <w:r>
        <w:br w:type="page"/>
      </w:r>
    </w:p>
    <w:p>
      <w:bookmarkStart w:id="1" w:name="glance"/>
      <w:pPr>
        <w:pStyle w:val="Heading1"/>
      </w:pPr>
      <w:r>
        <w:rPr>
          <w:rFonts w:ascii="Calibri" w:hAnsi="Calibri"/>
          <w:color w:val="1A3A5C"/>
        </w:rPr>
        <w:t>Quarter at a Glance</w:t>
      </w:r>
      <w:bookmarkEnd w:id="1"/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Q2 2026 was the quarter Argos moved from research artifacts to a deployed product in a client's hands. Two threads ran in parallel. On the research side, the quarter's evaluation work shipped to production: N-best aggregation (Mission 6) and a per-word confidence stack that tells an operator which words to trust. On the delivery side, the system was packaged as a single self-contained Docker image and stood up on an air-gapped Windows 11 + RTX 5090 client machine, supported by a 2-hour stakeholder meeting and a redesigned presentation suite.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44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504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Q2 Headline</w:t>
            </w:r>
          </w:p>
        </w:tc>
        <w:tc>
          <w:tcPr>
            <w:tcW w:type="dxa" w:w="187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Decode default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18"/>
              </w:rPr>
              <w:t>MBR aggregation now the production default output (was top-1)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Shipped May 2</w:t>
            </w:r>
          </w:p>
        </w:tc>
      </w:tr>
      <w:tr>
        <w:tc>
          <w:tcPr>
            <w:tcW w:type="dxa" w:w="244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N-best aggregation (M6)</w:t>
            </w:r>
          </w:p>
        </w:tc>
        <w:tc>
          <w:tcPr>
            <w:tcW w:type="dxa" w:w="504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5 offline methods; hyp_mbr selected; judge Y+P 68.4% → 71.1%</w:t>
            </w:r>
          </w:p>
        </w:tc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Shipped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Confidence scoring (M4)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18"/>
              </w:rPr>
              <w:t>Per-word Trust/Salvage/Strip bands live in every run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Shipped Apr 30</w:t>
            </w:r>
          </w:p>
        </w:tc>
      </w:tr>
      <w:tr>
        <w:tc>
          <w:tcPr>
            <w:tcW w:type="dxa" w:w="244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Client deployment</w:t>
            </w:r>
          </w:p>
        </w:tc>
        <w:tc>
          <w:tcPr>
            <w:tcW w:type="dxa" w:w="504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Single Docker image on air-gapped Win 11 + RTX 5090</w:t>
            </w:r>
          </w:p>
        </w:tc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Delivered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Stakeholder meeting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18"/>
              </w:rPr>
              <w:t>2-hour, ~12-person session; full presentation suite rebuilt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Delivered</w:t>
            </w:r>
          </w:p>
        </w:tc>
      </w:tr>
      <w:tr>
        <w:tc>
          <w:tcPr>
            <w:tcW w:type="dxa" w:w="244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Llama 3.1 migration</w:t>
            </w:r>
          </w:p>
        </w:tc>
        <w:tc>
          <w:tcPr>
            <w:tcW w:type="dxa" w:w="504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Code + smoke test pass; blocked on LRS3 data + GPU quota</w:t>
            </w:r>
          </w:p>
        </w:tc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Prep complete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Human-IS study (Path B)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18"/>
              </w:rPr>
              <w:t>Pre-study estimates: model ≈ unaided deaf reader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Estimates only</w:t>
            </w:r>
          </w:p>
        </w:tc>
      </w:tr>
    </w:tbl>
    <w:p/>
    <w:p>
      <w:r>
        <w:br w:type="page"/>
      </w:r>
    </w:p>
    <w:p>
      <w:bookmarkStart w:id="2" w:name="part1"/>
      <w:pPr>
        <w:pStyle w:val="Heading1"/>
      </w:pPr>
      <w:r>
        <w:rPr>
          <w:rFonts w:ascii="Calibri" w:hAnsi="Calibri"/>
          <w:color w:val="1A3A5C"/>
        </w:rPr>
        <w:t>Part 1. Research &amp; Evaluation</w:t>
      </w:r>
      <w:bookmarkEnd w:id="2"/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Q2's research effort focused on a single question carried over from Q1: the model produces useful output ~62% of the time, but which output can a user trust? Two deliverables answered it — N-best aggregation (a better single answer) and per-word confidence (a per-word trust signal). Both shipped to production. All numbers below are computed on the full 1,497-segment evaluation set unless noted.</w:t>
      </w:r>
    </w:p>
    <w:p>
      <w:pPr>
        <w:pStyle w:val="Heading2"/>
      </w:pPr>
      <w:r>
        <w:rPr>
          <w:rFonts w:ascii="Calibri" w:hAnsi="Calibri"/>
          <w:color w:val="2A5A8C"/>
        </w:rPr>
        <w:t>1.1 Production Decode Upgrade: MBR Now the Default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Since May 2, 2026 the production pipeline emits the Minimum Bayes Risk (MBR) aggregated hypothesis as its displayed output instead of the raw top-1 beam result. The change is gated by VSP_NBEST=1 (now default) and wired via make_report.py --display-method (default hyp_mbr when aggregated.json exists; override with VSP_DISPLAY_METHOD=top1). MBR improves every headline metric except a negligible hallucination tick, and the gain is statistically significant on the LLM judge.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176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Metric (1,497 seg)</w:t>
            </w:r>
          </w:p>
        </w:tc>
        <w:tc>
          <w:tcPr>
            <w:tcW w:type="dxa" w:w="187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Top-1 (old)</w:t>
            </w:r>
          </w:p>
        </w:tc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MBR (new default)</w:t>
            </w:r>
          </w:p>
        </w:tc>
        <w:tc>
          <w:tcPr>
            <w:tcW w:type="dxa" w:w="1296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Δ</w:t>
            </w:r>
          </w:p>
        </w:tc>
      </w:tr>
      <w:tr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Mean WER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64.1%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63.8%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8"/>
              </w:rPr>
              <w:t>−0.22 pp</w:t>
            </w:r>
          </w:p>
        </w:tc>
      </w:tr>
      <w:tr>
        <w:tc>
          <w:tcPr>
            <w:tcW w:type="dxa" w:w="4176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Mean IS</w:t>
            </w:r>
          </w:p>
        </w:tc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2.532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2.547</w:t>
            </w:r>
          </w:p>
        </w:tc>
        <w:tc>
          <w:tcPr>
            <w:tcW w:type="dxa" w:w="1296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+0.015</w:t>
            </w:r>
          </w:p>
        </w:tc>
      </w:tr>
      <w:tr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Median IS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2.559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2.600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8"/>
              </w:rPr>
              <w:t>+0.041</w:t>
            </w:r>
          </w:p>
        </w:tc>
      </w:tr>
      <w:tr>
        <w:tc>
          <w:tcPr>
            <w:tcW w:type="dxa" w:w="4176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NIV-Y — clearly conveyed (IS ≥ 3.80)</w:t>
            </w:r>
          </w:p>
        </w:tc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359 (24.0%)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358 (23.9%)</w:t>
            </w:r>
          </w:p>
        </w:tc>
        <w:tc>
          <w:tcPr>
            <w:tcW w:type="dxa" w:w="1296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−1 seg</w:t>
            </w:r>
          </w:p>
        </w:tc>
      </w:tr>
      <w:tr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NIV-Y+P — any useful (IS ≥ 2.00)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923 (61.7%)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927 (61.9%)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8"/>
              </w:rPr>
              <w:t>+4 seg</w:t>
            </w:r>
          </w:p>
        </w:tc>
      </w:tr>
      <w:tr>
        <w:tc>
          <w:tcPr>
            <w:tcW w:type="dxa" w:w="4176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LLM Judge Y+P (Opus 4.7)</w:t>
            </w:r>
          </w:p>
        </w:tc>
        <w:tc>
          <w:tcPr>
            <w:tcW w:type="dxa" w:w="187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68.4%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71.1%</w:t>
            </w:r>
          </w:p>
        </w:tc>
        <w:tc>
          <w:tcPr>
            <w:tcW w:type="dxa" w:w="1296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+2.67 pp</w:t>
            </w:r>
          </w:p>
        </w:tc>
      </w:tr>
      <w:tr>
        <w:tc>
          <w:tcPr>
            <w:tcW w:type="dxa" w:w="4176"/>
          </w:tcPr>
          <w:p>
            <w:r/>
            <w:r>
              <w:rPr>
                <w:rFonts w:ascii="Calibri" w:hAnsi="Calibri"/>
                <w:b w:val="0"/>
                <w:sz w:val="18"/>
              </w:rPr>
              <w:t>Hallucination (WER ≥ 100%)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8"/>
              </w:rPr>
              <w:t>20.5%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20.7%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8"/>
              </w:rPr>
              <w:t>+0.20 pp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sz w:val="22"/>
        </w:rPr>
        <w:t>The judge improvement is the meaningful one: on a blind paired re-evaluation of all 1,497 pairs (Opus 4.7, dual-confidence prompt, 5,988 verdicts), MBR wins the ‘any useful output’ operating point with 74 method-only gains vs 34 baseline-only losses — McNemar p = 0.0002. The strict ‘clearly conveyed’ (Y) verdict is unchanged (p = 0.29). MBR also lifts ~11 segments from IS tier 3 into tier 4. Past videos can adopt the new default without re-decoding by re-running stage 8 on existing VSP_NBEST=1 artifacts.</w:t>
      </w:r>
    </w:p>
    <w:p>
      <w:pPr>
        <w:pStyle w:val="Heading2"/>
      </w:pPr>
      <w:r>
        <w:rPr>
          <w:rFonts w:ascii="Calibri" w:hAnsi="Calibri"/>
          <w:color w:val="2A5A8C"/>
        </w:rPr>
        <w:t>1.2 N-Best Aggregation — Mission 6 Shipped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Mission 6 shipped five offline aggregation methods (pure-Python/CPU, no re-decode) that combine the beam's N hypotheses into one improved answer. They were evaluated three ways on the full set — deterministic WER, the IS metric, and the Opus LLM judge — which disagree, and that disagreement drove the final choice.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75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44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Best at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hyp_mbr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18"/>
              </w:rPr>
              <w:t>Min expected-WER hypothesis under score-weighted voting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Judge Y+P (selected default)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hyp_vote_conf</w:t>
            </w:r>
          </w:p>
        </w:tc>
        <w:tc>
          <w:tcPr>
            <w:tcW w:type="dxa" w:w="475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ROVER vote weighted by score × per-word confidence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WER (−1.56 pp) &amp; lowest halluc.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hyp_vote_score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18"/>
              </w:rPr>
              <w:t>ROVER vote weighted by sequence score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— (n.s. on judge)</w:t>
            </w:r>
          </w:p>
        </w:tc>
      </w:tr>
      <w:tr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hyp_safe</w:t>
            </w:r>
          </w:p>
        </w:tc>
        <w:tc>
          <w:tcPr>
            <w:tcW w:type="dxa" w:w="475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Top-1, swap only very-low-conf words with beam consensus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Conservative / neutral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hyp_xseg_merge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18"/>
              </w:rPr>
              <w:t>Cross-segment overlap fusion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No-op on this dataset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  <w:sz w:val="22"/>
        </w:rPr>
        <w:t>The three lenses split: vote_conf wins WER (62.5%, −1.56 pp) and has the lowest hallucination (19.0%); IS cannot distinguish the methods (all four within 0.015, paired p ≈ 1.0); the judge favors aggregation broadly, with MBR strongest (Y+P +40 wins, p = 0.0002) and vote_conf second (+31, p = 0.0026). hyp_mbr was selected as the shipped default for three reasons beyond the judge edge: (1) highest intra-rater stability at 86.7%, matching the gold-standard judge run; (2) it emits a calibrated per-word posterior compatible with the confidence-band UI, where the voting methods only emit a narrow [0.4, 0.8] agreement score; (3) a hybrid sentence-confidence gate was tested and rejected (+36 vs +37 rescues — one segment, not worth the threshold).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Judge methodology note: the first LLM-judge run (v1) injected only each method's own confidence into the prompt and was contaminated — 27% of byte-identical hypotheses got different verdicts, and it falsely reported vote_conf as a significant loss. The v3 prompt adds a shared baseline-confidence anchor identical across all four methods; identical-text drift dropped to 23% and became balanced. v1 was archived; all rankings above use v3.</w:t>
      </w:r>
    </w:p>
    <w:p>
      <w:pPr>
        <w:pStyle w:val="Heading2"/>
      </w:pPr>
      <w:r>
        <w:rPr>
          <w:rFonts w:ascii="Calibri" w:hAnsi="Calibri"/>
          <w:color w:val="2A5A8C"/>
        </w:rPr>
        <w:t>1.3 Per-Word Confidence: the Trust / Salvage / Strip Stack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quarter's flagship evaluation deliverable. Since April 30, every pipeline run emits a per-word confidence signal, and the report colors each word so an operator can read selectively rather than trust or discard a whole segment. The core finding from Q1 — that no flat confidence threshold works — was resolved with a two-layer design: a segment-level tier decides whether to color at all, and a per-word band rule decides the color.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Outer layer (segment tier, keyed on the segment's mean confidence):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584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Tier</w:t>
            </w:r>
          </w:p>
        </w:tc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Segment mean conf</w:t>
            </w:r>
          </w:p>
        </w:tc>
        <w:tc>
          <w:tcPr>
            <w:tcW w:type="dxa" w:w="244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Reliability of green</w:t>
            </w:r>
          </w:p>
        </w:tc>
        <w:tc>
          <w:tcPr>
            <w:tcW w:type="dxa" w:w="316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UI behavior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8"/>
              </w:rPr>
              <w:t>Trust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≥ 0.82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green ≥ 85% correct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  <w:t>Full per-word coloring</w:t>
            </w:r>
          </w:p>
        </w:tc>
      </w:tr>
      <w:tr>
        <w:tc>
          <w:tcPr>
            <w:tcW w:type="dxa" w:w="1584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Salvage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0.65 – 0.82</w:t>
            </w:r>
          </w:p>
        </w:tc>
        <w:tc>
          <w:tcPr>
            <w:tcW w:type="dxa" w:w="244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green ~65–85%</w:t>
            </w:r>
          </w:p>
        </w:tc>
        <w:tc>
          <w:tcPr>
            <w:tcW w:type="dxa" w:w="316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Coloring + ‘uncertain’ banner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8"/>
              </w:rPr>
              <w:t>Strip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&lt; 0.65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8"/>
              </w:rPr>
              <w:t>green &lt; 50%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  <w:t>Coloring removed; plain grey text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  <w:sz w:val="22"/>
        </w:rPr>
        <w:t>Distribution on the 1,497-segment baseline: Trust 22.7%, Salvage 35.7%, Strip 36.9% (plus 70 empty-hypothesis segments). The thresholds (T_trust 0.89 ≥ 90% reliable, T_safe 0.82 ≥ 85%, T_salvage 0.74 ≥ 75%, strip boundary 0.65) are Llama-2-7b-specific and must be refit if the LLM backbone changes.</w:t>
      </w:r>
    </w:p>
    <w:p>
      <w:pPr>
        <w:pStyle w:val="Heading3"/>
      </w:pPr>
      <w:r>
        <w:rPr>
          <w:rFonts w:ascii="Calibri" w:hAnsi="Calibri"/>
          <w:color w:val="3A6A9C"/>
        </w:rPr>
        <w:t>1.3.1 Agreement-Aware Bands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inner per-word rule was upgraded on May 2 from a single confidence threshold to a joint rule combining top-1 confidence with beam agreement (how many of the N hypotheses chose the same word):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Green: </w:t>
      </w:r>
      <w:r>
        <w:rPr>
          <w:rFonts w:ascii="Calibri" w:hAnsi="Calibri"/>
          <w:sz w:val="20"/>
        </w:rPr>
        <w:t>top-1 conf ≥ 0.95 AND beam agreement ≥ 0.80  (≈ 85–94% correct)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Yellow: </w:t>
      </w:r>
      <w:r>
        <w:rPr>
          <w:rFonts w:ascii="Calibri" w:hAnsi="Calibri"/>
          <w:sz w:val="20"/>
        </w:rPr>
        <w:t>top-1 conf ≥ 0.65 AND beam agreement ≥ 0.50  (≈ 40–80% correct)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Numbers / currency: </w:t>
      </w:r>
      <w:r>
        <w:rPr>
          <w:rFonts w:ascii="Calibri" w:hAnsi="Calibri"/>
          <w:sz w:val="20"/>
        </w:rPr>
        <w:t>clamped at yellow regardless of confidence (digits are visually near-random)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Beam agreement is roughly twice as informative as top-1 confidence in the high-confidence region: at fixed agreement, raising confidence 0.65→0.95 adds +37 pp reliability; at fixed confidence, raising agreement 0→0.95 adds +54 pp. A word the model is 95%-confident about but the beam disagrees on is only ~40% reliable — exactly the ‘gonna→going’, ‘billion→million’ failure cell that single-confidence coloring missed.</w:t>
      </w:r>
    </w:p>
    <w:p>
      <w:pPr>
        <w:pStyle w:val="Heading3"/>
      </w:pPr>
      <w:r>
        <w:rPr>
          <w:rFonts w:ascii="Calibri" w:hAnsi="Calibri"/>
          <w:color w:val="3A6A9C"/>
        </w:rPr>
        <w:t>1.3.2 Band Reliability Is Conditional on Segment Quality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Measured on 23,261 aligned words / 1,427 segments, the reliability of a green word swings by more than 70 points depending on the segment it sits in — which is why the outer tier exists: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744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Segment mean conf</w:t>
            </w:r>
          </w:p>
        </w:tc>
        <w:tc>
          <w:tcPr>
            <w:tcW w:type="dxa" w:w="288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P(correct | green)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8"/>
              </w:rPr>
              <w:t>≥ 0.85 (very high)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92.8%</w:t>
            </w:r>
          </w:p>
        </w:tc>
      </w:tr>
      <w:tr>
        <w:tc>
          <w:tcPr>
            <w:tcW w:type="dxa" w:w="3744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0.75 – 0.85 (high)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83.8%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8"/>
              </w:rPr>
              <w:t>0.65 – 0.75 (mid)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69.6%</w:t>
            </w:r>
          </w:p>
        </w:tc>
      </w:tr>
      <w:tr>
        <w:tc>
          <w:tcPr>
            <w:tcW w:type="dxa" w:w="3744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0.55 – 0.65 (mid-low)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41.3%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8"/>
              </w:rPr>
              <w:t>0.40 – 0.55 (low)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21.8%</w:t>
            </w:r>
          </w:p>
        </w:tc>
      </w:tr>
      <w:tr>
        <w:tc>
          <w:tcPr>
            <w:tcW w:type="dxa" w:w="3744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&lt; 0.40 (very low)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18.2%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8"/>
              </w:rPr>
              <w:t>Overall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80.6%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3A6A9C"/>
        </w:rPr>
        <w:t>1.3.3 Band Reliability by Outcome, and Green Leakage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Within useful content (the ~62% of segments rated Y or P), the per-word flag genuinely separates right from wrong: P(correct | green / yellow / red) = 87.2% / 48.9% / 24.7% — a 62.5-point spread. The flag does its heaviest lifting on partial (P) segments (80% / 41% / 20%) and correctly stops trusting green on failed (N) segments (37% / 17% / 7%), confirming the Strip policy.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Residual risk — ‘green leakage’: 2,192 of 23,261 words (9.4%) are wrong yet colored green; 605 of those sit in below-0.65 segments the Strip tier removes coloring from. The dangerous leaks are confident numeric/entity swaps — ‘1 billion→1 million’ (conf 0.965, off by 1000×), ‘2011→2000’ (0.894), ‘1024→24’ (0.958) — which is why numbers are now capped at yellow.</w:t>
      </w:r>
    </w:p>
    <w:p>
      <w:pPr>
        <w:pStyle w:val="Heading2"/>
      </w:pPr>
      <w:r>
        <w:rPr>
          <w:rFonts w:ascii="Calibri" w:hAnsi="Calibri"/>
          <w:color w:val="2A5A8C"/>
        </w:rPr>
        <w:t>1.4 Human Intelligibility Baseline (Path B Estimates)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To answer ‘how good is 2.5/5, really?’ we estimated what humans would score on the same wild 1,497-segment task using the IS formula (these are pre-study estimates, validated to reproduce the model’s own measured per-bin IS within ±0.05; a human pilot is not yet run):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60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Reader</w:t>
            </w:r>
          </w:p>
        </w:tc>
        <w:tc>
          <w:tcPr>
            <w:tcW w:type="dxa" w:w="216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Estimated IS (mid)</w:t>
            </w:r>
          </w:p>
        </w:tc>
        <w:tc>
          <w:tcPr>
            <w:tcW w:type="dxa" w:w="2304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vs Model 2.55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18"/>
              </w:rPr>
              <w:t>Lay hearing, no context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0.92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  <w:t>Model wins by +1.6</w:t>
            </w:r>
          </w:p>
        </w:tc>
      </w:tr>
      <w:tr>
        <w:tc>
          <w:tcPr>
            <w:tcW w:type="dxa" w:w="460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Deaf adult, no context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2.74</w:t>
            </w:r>
          </w:p>
        </w:tc>
        <w:tc>
          <w:tcPr>
            <w:tcW w:type="dxa" w:w="2304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Rough tie (−0.2)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18"/>
              </w:rPr>
              <w:t>Expert / forensic lip-reader, no context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3.03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  <w:t>Model loses by −0.5</w:t>
            </w:r>
          </w:p>
        </w:tc>
      </w:tr>
      <w:tr>
        <w:tc>
          <w:tcPr>
            <w:tcW w:type="dxa" w:w="460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Lay + topic + model-assisted review</w:t>
            </w:r>
          </w:p>
        </w:tc>
        <w:tc>
          <w:tcPr>
            <w:tcW w:type="dxa" w:w="216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3.83</w:t>
            </w:r>
          </w:p>
        </w:tc>
        <w:tc>
          <w:tcPr>
            <w:tcW w:type="dxa" w:w="2304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Model loses by −1.3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18"/>
              </w:rPr>
              <w:t>Model alone (measured, MBR)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2.55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  <w:sz w:val="22"/>
        </w:rPr>
        <w:t>The deployment story falls out of the last two rows: the model alone roughly matches an unaided deaf lip-reader and loses to an unaided expert by ~0.5 IS, but model + a context-aware human reviewer scores ~1.3 IS higher than either — which is exactly the workflow the confidence report enables. A separate isolation test showed the IS metric covertly rewards the model for guessing rather than skipping words (the length-ratio term), worth ~+0.4 IS for a lay reader.</w:t>
      </w:r>
    </w:p>
    <w:p>
      <w:pPr>
        <w:pStyle w:val="Heading2"/>
      </w:pPr>
      <w:r>
        <w:rPr>
          <w:rFonts w:ascii="Calibri" w:hAnsi="Calibri"/>
          <w:color w:val="2A5A8C"/>
        </w:rPr>
        <w:t>1.5 Llama 3.1 Migration — Prepared, Blocked on Data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Groundwork was laid in Q2 to swap the frozen Llama-2-7B backbone for Llama-3.1-8B. The target was set to the BASE model (not Instruct) — matching the original paper and the 2025 VSR literature, since visual features are injected via embeddings, not chat instructions. The integration is code-complete and validated end-to-end but deliberately not yet on the production decode path.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Load test: </w:t>
      </w:r>
      <w:r>
        <w:rPr>
          <w:rFonts w:ascii="Calibri" w:hAnsi="Calibri"/>
          <w:sz w:val="20"/>
        </w:rPr>
        <w:t>PASS — 4-bit load 5.70 GB VRAM, LoRA wrap 9.4M trainable params (0.117%)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Fairseq smoke test: </w:t>
      </w:r>
      <w:r>
        <w:rPr>
          <w:rFonts w:ascii="Calibri" w:hAnsi="Calibri"/>
          <w:sz w:val="20"/>
        </w:rPr>
        <w:t>FULL PASS — 2-update real training, loss 11.5→8.7, full data→encoder→projector→LLM chain validated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Both models downloaded: </w:t>
      </w:r>
      <w:r>
        <w:rPr>
          <w:rFonts w:ascii="Calibri" w:hAnsi="Calibri"/>
          <w:sz w:val="20"/>
        </w:rPr>
        <w:t>Base (15 GB) + Instruct backup (30 GB); Meta license granted May 11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Blocked: </w:t>
      </w:r>
      <w:r>
        <w:rPr>
          <w:rFonts w:ascii="Calibri" w:hAnsi="Calibri"/>
          <w:sz w:val="20"/>
        </w:rPr>
        <w:t>LRS3 dataset delisted from every public mirror; AWS p4d.24xlarge quota pending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Expected gain: </w:t>
      </w:r>
      <w:r>
        <w:rPr>
          <w:rFonts w:ascii="Calibri" w:hAnsi="Calibri"/>
          <w:sz w:val="20"/>
        </w:rPr>
        <w:t>modest — ~1–2 pp WER; the frozen visual encoder, not the LLM, is the real bottleneck</w:t>
      </w:r>
    </w:p>
    <w:p>
      <w:r>
        <w:br w:type="page"/>
      </w:r>
    </w:p>
    <w:p>
      <w:bookmarkStart w:id="3" w:name="part2"/>
      <w:pPr>
        <w:pStyle w:val="Heading1"/>
      </w:pPr>
      <w:r>
        <w:rPr>
          <w:rFonts w:ascii="Calibri" w:hAnsi="Calibri"/>
          <w:color w:val="1A3A5C"/>
        </w:rPr>
        <w:t>Part 2. Client Engagement &amp; Operations</w:t>
      </w:r>
      <w:bookmarkEnd w:id="3"/>
    </w:p>
    <w:p>
      <w:pPr>
        <w:pStyle w:val="Heading2"/>
      </w:pPr>
      <w:r>
        <w:rPr>
          <w:rFonts w:ascii="Calibri" w:hAnsi="Calibri"/>
          <w:color w:val="2A5A8C"/>
        </w:rPr>
        <w:t>2.1 The Stakeholder Meeting &amp; Use-Case Reframe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quarter centered on a 2-hour, ~12-person stakeholder meeting with a mixed audience: the existing client team and a second internal team, two technical reps from a peer/partner company, and two representatives of a prospective new client. The meeting drove a substantial narrative reframe of how Argos is positioned.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system was repositioned away from media-transcription/accessibility framing toward its actual use case: recovering speech from footage where audio does not exist or cannot be obtained (investigations, archive review, footage from cameras without microphones), indoor and outdoor, from 20-second to hour-long clips. The comparative anchor that resonated: there is no incumbent vendor — the alternatives are manual expert lip-reading (45–52% word accuracy) or nothing, and Argos + a human reviewer reaches 55–70% with near-zero hallucination risk and audits in minutes per video.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03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Client priority</w:t>
            </w:r>
          </w:p>
        </w:tc>
        <w:tc>
          <w:tcPr>
            <w:tcW w:type="dxa" w:w="115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Rank</w:t>
            </w:r>
          </w:p>
        </w:tc>
        <w:tc>
          <w:tcPr>
            <w:tcW w:type="dxa" w:w="3744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Addressed this quarter?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8"/>
              </w:rPr>
              <w:t>Trust / truthfulness of output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8"/>
              </w:rPr>
              <w:t>Yes — confidence stack + MBR</w:t>
            </w:r>
          </w:p>
        </w:tc>
      </w:tr>
      <w:tr>
        <w:tc>
          <w:tcPr>
            <w:tcW w:type="dxa" w:w="40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Multi-speaker support</w:t>
            </w:r>
          </w:p>
        </w:tc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3744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Roadmap (Q3)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sz w:val="18"/>
              </w:rPr>
              <w:t>Multi-language (Arabic)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8"/>
              </w:rPr>
              <w:t>Roadmap (future)</w:t>
            </w:r>
          </w:p>
        </w:tc>
      </w:tr>
      <w:tr>
        <w:tc>
          <w:tcPr>
            <w:tcW w:type="dxa" w:w="40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Ease of use</w:t>
            </w:r>
          </w:p>
        </w:tc>
        <w:tc>
          <w:tcPr>
            <w:tcW w:type="dxa" w:w="115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3744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Yes — UI bundle, user guide, deploy kit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  <w:sz w:val="22"/>
        </w:rPr>
        <w:t>Explicitly NOT client concerns: inference cost, latency, per-minute pricing, language detection. The dominant request across deck reviews was to strip research jargon from client-visible material (no LoRA / PCA / κ / NIV / ‘MBR’ on slides — ‘MBR’ became ‘20 alternative readings, aggregated’) and to lead with graceful-degradation examples rather than worst-case failures.</w:t>
      </w:r>
    </w:p>
    <w:p>
      <w:pPr>
        <w:pStyle w:val="Heading2"/>
      </w:pPr>
      <w:r>
        <w:rPr>
          <w:rFonts w:ascii="Calibri" w:hAnsi="Calibri"/>
          <w:color w:val="2A5A8C"/>
        </w:rPr>
        <w:t>2.2 Presentation Suite Rebuilt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Three deck families were produced and iterated heavily over Apr 30 – May 11, every round driven by 17–43 specific written feedback items per review: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Deck</w:t>
            </w:r>
          </w:p>
        </w:tc>
        <w:tc>
          <w:tcPr>
            <w:tcW w:type="dxa" w:w="2736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3600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8"/>
              </w:rPr>
              <w:t>Client deck (Rounds 0–10)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8"/>
              </w:rPr>
              <w:t>Existing + prospective client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8"/>
              </w:rPr>
              <w:t>48 → ~66 slides; surveillance-reframe, trust section, case studies</w:t>
            </w:r>
          </w:p>
        </w:tc>
      </w:tr>
      <w:tr>
        <w:tc>
          <w:tcPr>
            <w:tcW w:type="dxa" w:w="2736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Academic deck (‘For Orchard’)</w:t>
            </w:r>
          </w:p>
        </w:tc>
        <w:tc>
          <w:tcPr>
            <w:tcW w:type="dxa" w:w="2736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Research peers / internal</w:t>
            </w:r>
          </w:p>
        </w:tc>
        <w:tc>
          <w:tcPr>
            <w:tcW w:type="dxa" w:w="3600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~88 slides, 5-section narrative, all numbers rebased on MBR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8"/>
              </w:rPr>
              <w:t>v13 deck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8"/>
              </w:rPr>
              <w:t>Mixed / archive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sz w:val="18"/>
              </w:rPr>
              <w:t>99-slide rebuild via dual-mode generator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  <w:sz w:val="22"/>
        </w:rPr>
        <w:t>All decks were rebased onto MBR-default numbers and audited slide-by-slide via PNG renders (the project rule: never proof a PPTX by PDF conversion). The full round-by-round history is in presentation_materials_20260224/DECK_CHANGELOG.md and docs/paper/presentation-remarks-log.md.</w:t>
      </w:r>
    </w:p>
    <w:p>
      <w:pPr>
        <w:pStyle w:val="Heading2"/>
      </w:pPr>
      <w:r>
        <w:rPr>
          <w:rFonts w:ascii="Calibri" w:hAnsi="Calibri"/>
          <w:color w:val="2A5A8C"/>
        </w:rPr>
        <w:t>2.3 Competitive Landscape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Competitor questions were identified as a gap and answered with a one-page Q&amp;A cheat-sheet and a fuller reference. Named comparators: Symphonic Labs (‘Read Their Lips’), LipReadPro, big-tech speech APIs, and 121 Captions (human forensic lip-readers). Key talking points: LipReadPro’s ‘95% accuracy’ claim is implausible against the published LRS3 state of the art (~27% WER) and is web-upload, not on-premise — a non-starter for air-gapped clients.</w:t>
      </w:r>
    </w:p>
    <w:p>
      <w:pPr>
        <w:pStyle w:val="Heading2"/>
      </w:pPr>
      <w:r>
        <w:rPr>
          <w:rFonts w:ascii="Calibri" w:hAnsi="Calibri"/>
          <w:color w:val="2A5A8C"/>
        </w:rPr>
        <w:t>2.4 Client Deployment: Single Image, Air-Gapped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Argos was deployed to an air-gapped Windows 11 + RTX 5090 (Blackwell) client running Docker Desktop, fully offline after install. The deployment model was deliberately changed from Q1’s layered patch overlays to a single, clean, self-contained Docker image (one tag, one tarball, full rebuild on any source change) — layered patches caused operator confusion and were deprecated.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Image: </w:t>
      </w:r>
      <w:r>
        <w:rPr>
          <w:rFonts w:ascii="Calibri" w:hAnsi="Calibri"/>
          <w:sz w:val="20"/>
        </w:rPr>
        <w:t>vsp-llm-pipeline (client-build-001→003), ~58 GB after ~8 GB bloat cleanup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Two entry points: </w:t>
      </w:r>
      <w:r>
        <w:rPr>
          <w:rFonts w:ascii="Calibri" w:hAnsi="Calibri"/>
          <w:sz w:val="20"/>
        </w:rPr>
        <w:t>vsp-start.sh (UI mode, browser at :8080) and vsp-pipeline.sh (CLI mode, folder picker)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Windows parity: </w:t>
      </w:r>
      <w:r>
        <w:rPr>
          <w:rFonts w:ascii="Calibri" w:hAnsi="Calibri"/>
          <w:sz w:val="20"/>
        </w:rPr>
        <w:t>PowerShell launchers + pre/post/diagnostics .ps1 self-test scripts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Offline hardening: </w:t>
      </w:r>
      <w:r>
        <w:rPr>
          <w:rFonts w:ascii="Calibri" w:hAnsi="Calibri"/>
          <w:sz w:val="20"/>
        </w:rPr>
        <w:t>HF_HUB_OFFLINE / TRANSFORMERS_OFFLINE set; Whisper + spaCy models pre-baked into the image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Update mechanism: </w:t>
      </w:r>
      <w:r>
        <w:rPr>
          <w:rFonts w:ascii="Calibri" w:hAnsi="Calibri"/>
          <w:sz w:val="20"/>
        </w:rPr>
        <w:t>apply_update.sh &lt;tarball&gt; &lt;tag&gt; for whole-image swaps</w:t>
      </w:r>
    </w:p>
    <w:p>
      <w:pPr>
        <w:pStyle w:val="Heading2"/>
      </w:pPr>
      <w:r>
        <w:rPr>
          <w:rFonts w:ascii="Calibri" w:hAnsi="Calibri"/>
          <w:color w:val="2A5A8C"/>
        </w:rPr>
        <w:t>2.5 Deployment Bugs &amp; Lessons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17 distinct bugs were found and fixed across three build cycles plus one in-field follow-up (a real client decode crash on May 12, latent since the Mission 4/6 merge). The recurring theme: a clean exit code does not mean features worked. Validation now checks actual artifacts (does aggregated.json exist, does it contain hyp_mbr, does report.csv carry the NIV column).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Syncing lib/ alone is insufficient — auto_avsr/ and the local fairseq fork must move together; two fairseq installs live side-by-side and are reconciled by a decode.sh monkey-patch.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Read-only input mounts forced a VSP_TRANSCRIPTIONS_DIR env var; the server bound to localhost-in-container needed VSP_UI_HOST/PORT overrides.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spaCy has no cp39 wheel — it must be pre-baked (~21 min build cost), or features silently degrade.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Client terminology rarely matches button labels (‘restart’, ‘loading’, ‘frozen’, ‘.mtk’). Two diagnostic questions resolve most calls: what is on screen, and what was clicked immediately before.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Always stamp documents with their version date — the client mistook a February roadmap deck for current state.</w:t>
      </w:r>
    </w:p>
    <w:p>
      <w:r>
        <w:br w:type="page"/>
      </w:r>
    </w:p>
    <w:p>
      <w:bookmarkStart w:id="4" w:name="part3"/>
      <w:pPr>
        <w:pStyle w:val="Heading1"/>
      </w:pPr>
      <w:r>
        <w:rPr>
          <w:rFonts w:ascii="Calibri" w:hAnsi="Calibri"/>
          <w:color w:val="1A3A5C"/>
        </w:rPr>
        <w:t>Part 3. Technical Development</w:t>
      </w:r>
      <w:bookmarkEnd w:id="4"/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Beyond the research wiring (MBR default, confidence sidecars, agreement bands), Q2 shipped a bundle of client-facing usability features driven directly by deployment feedback.</w:t>
      </w:r>
    </w:p>
    <w:p>
      <w:pPr>
        <w:pStyle w:val="Heading2"/>
      </w:pPr>
      <w:r>
        <w:rPr>
          <w:rFonts w:ascii="Calibri" w:hAnsi="Calibri"/>
          <w:color w:val="2A5A8C"/>
        </w:rPr>
        <w:t>3.1 Confidence &amp; MBR in the Report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report.csv gained sentence_confidence, min_word_conf, and n_low_conf_words columns plus a tier label; report.html renders a per-segment Confidence line in a distinct blue/orange/purple palette (kept separate from the green/yellow/red accuracy palette to avoid confusion). The decode path now writes per-word score sidecars by default (VSP_OUTPUT_SCORES=1), with zero new Python dependencies. The client-facing dark view was renamed argos_demo → confidence_breakdown.</w:t>
      </w:r>
    </w:p>
    <w:p>
      <w:pPr>
        <w:pStyle w:val="Heading2"/>
      </w:pPr>
      <w:r>
        <w:rPr>
          <w:rFonts w:ascii="Calibri" w:hAnsi="Calibri"/>
          <w:color w:val="2A5A8C"/>
        </w:rPr>
        <w:t>3.2 Client UX Bundle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 cluster of UI fixes shipped from real operator pain points: a fix for the transcription restart loop, host-path visibility (VSP_HOST_INPUT_DIR shows the operator a real Windows path), archive handling, and drag-drop hardening with a file-picker fallback for an Edge drag-drop regression.</w:t>
      </w:r>
    </w:p>
    <w:p>
      <w:pPr>
        <w:pStyle w:val="Heading2"/>
      </w:pPr>
      <w:r>
        <w:rPr>
          <w:rFonts w:ascii="Calibri" w:hAnsi="Calibri"/>
          <w:color w:val="2A5A8C"/>
        </w:rPr>
        <w:t>3.3 Audio-Aligned Transcription Injection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 new ‘Inject from audio’ workflow lets an operator feed a clean transcript from separate audio into a silent or bad-audio video, using a two-offset alignment scheme (--audio-start and --video-start). Injected transcripts are cached (type: audio-injected) and auto-reused on subsequent runs, with a distinct purple badge in the report. Available as both a CLI script and a UI form.</w:t>
      </w:r>
    </w:p>
    <w:p>
      <w:pPr>
        <w:pStyle w:val="Heading2"/>
      </w:pPr>
      <w:r>
        <w:rPr>
          <w:rFonts w:ascii="Calibri" w:hAnsi="Calibri"/>
          <w:color w:val="2A5A8C"/>
        </w:rPr>
        <w:t>3.4 Watch-with-CC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 whole-video closed-caption overlay was added so operators can review a full clip with the decoded text burned in as captions, in addition to the existing per-segment players.</w:t>
      </w:r>
    </w:p>
    <w:p>
      <w:pPr>
        <w:pStyle w:val="Heading2"/>
      </w:pPr>
      <w:r>
        <w:rPr>
          <w:rFonts w:ascii="Calibri" w:hAnsi="Calibri"/>
          <w:color w:val="2A5A8C"/>
        </w:rPr>
        <w:t>3.5 Expanded Video Format Support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Accepted input formats expanded from 6 to 11 containers, adding .mts / .m2ts / .ts (AVCHD camcorders — a real client gap), .wmv, and .flv. config.py::SUPPORTED_EXTENSIONS is the single source of truth with four mirror sites; the change was test-driven on generated fixtures, since the failure mode is silent rejection rather than a decode error.</w:t>
      </w:r>
    </w:p>
    <w:p>
      <w:pPr>
        <w:pStyle w:val="Heading2"/>
      </w:pPr>
      <w:r>
        <w:rPr>
          <w:rFonts w:ascii="Calibri" w:hAnsi="Calibri"/>
          <w:color w:val="2A5A8C"/>
        </w:rPr>
        <w:t>3.6 Burned-Video Improvements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Burned subtitle videos now use the MBR hypothesis matching the HTML report and per-word confidence coloring, with fixes for a dark-top-half rendering bug and broken-source fallback. A per-video CLAHE brightness enhancement was added to improve lip-reading on dark footage.</w:t>
      </w:r>
    </w:p>
    <w:p>
      <w:pPr>
        <w:pStyle w:val="Heading2"/>
      </w:pPr>
      <w:r>
        <w:rPr>
          <w:rFonts w:ascii="Calibri" w:hAnsi="Calibri"/>
          <w:color w:val="2A5A8C"/>
        </w:rPr>
        <w:t>3.7 Deployment Kit &amp; Tooling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May-2026 deployment kit bundles the launchers, Windows PowerShell counterparts, cp310 wheels, air-gapped install scripts, and the container update mechanism. A cross-session /handover skill was also added to pass working context between Claude Code sessions and between the two working accounts on this project.</w:t>
      </w:r>
    </w:p>
    <w:p>
      <w:r>
        <w:br w:type="page"/>
      </w:r>
    </w:p>
    <w:p>
      <w:bookmarkStart w:id="5" w:name="part4"/>
      <w:pPr>
        <w:pStyle w:val="Heading1"/>
      </w:pPr>
      <w:r>
        <w:rPr>
          <w:rFonts w:ascii="Calibri" w:hAnsi="Calibri"/>
          <w:color w:val="1A3A5C"/>
        </w:rPr>
        <w:t>Part 4. Insights, Lessons &amp; Next Quarter</w:t>
      </w:r>
      <w:bookmarkEnd w:id="5"/>
    </w:p>
    <w:p>
      <w:pPr>
        <w:pStyle w:val="Heading2"/>
      </w:pPr>
      <w:r>
        <w:rPr>
          <w:rFonts w:ascii="Calibri" w:hAnsi="Calibri"/>
          <w:color w:val="2A5A8C"/>
        </w:rPr>
        <w:t>4.1 Key Research Insights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Confidence is conditional, not absolute: </w:t>
      </w:r>
      <w:r>
        <w:rPr>
          <w:rFonts w:ascii="Calibri" w:hAnsi="Calibri"/>
          <w:sz w:val="20"/>
        </w:rPr>
        <w:t>the same green word is 92.8% reliable in a clean segment and 18% in a noisy one. A flat threshold cannot work; the segment tier must gate the per-word color.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Beam agreement beats raw confidence: </w:t>
      </w:r>
      <w:r>
        <w:rPr>
          <w:rFonts w:ascii="Calibri" w:hAnsi="Calibri"/>
          <w:sz w:val="20"/>
        </w:rPr>
        <w:t>at high confidence, whether the beam agrees is ~2× more predictive of correctness than the confidence value itself — the single most useful confidence signal found this quarter.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Aggregation helps where IS cannot see it: </w:t>
      </w:r>
      <w:r>
        <w:rPr>
          <w:rFonts w:ascii="Calibri" w:hAnsi="Calibri"/>
          <w:sz w:val="20"/>
        </w:rPr>
        <w:t>MBR and voting are statistically better to the LLM judge but invisible to the IS metric — they rescue marginal segments below the IS tier boundary. Pick the metric to the decision.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The metric rewards guessing: </w:t>
      </w:r>
      <w:r>
        <w:rPr>
          <w:rFonts w:ascii="Calibri" w:hAnsi="Calibri"/>
          <w:sz w:val="20"/>
        </w:rPr>
        <w:t>IS’s length-ratio term covertly rewards the model for filling in uncertain words rather than skipping them — a known bias to watch when comparing to humans, who skip.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The model is reviewer-grade, not expert-grade: </w:t>
      </w:r>
      <w:r>
        <w:rPr>
          <w:rFonts w:ascii="Calibri" w:hAnsi="Calibri"/>
          <w:sz w:val="20"/>
        </w:rPr>
        <w:t>alone it matches an unaided deaf lip-reader and trails an expert by ~0.5 IS, but paired with a human reviewer it exceeds both by ~1.3 IS. The product is the pairing.</w:t>
      </w:r>
    </w:p>
    <w:p>
      <w:pPr>
        <w:pStyle w:val="Heading2"/>
      </w:pPr>
      <w:r>
        <w:rPr>
          <w:rFonts w:ascii="Calibri" w:hAnsi="Calibri"/>
          <w:color w:val="2A5A8C"/>
        </w:rPr>
        <w:t>4.2 Operational &amp; Client Lessons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One clean image beats layered patches: </w:t>
      </w:r>
      <w:r>
        <w:rPr>
          <w:rFonts w:ascii="Calibri" w:hAnsi="Calibri"/>
          <w:sz w:val="20"/>
        </w:rPr>
        <w:t>a single tag/tarball with full rebuild removed the operator confusion that layered overlays caused; the patch-overlay update flow was deprecated.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Exit code 0 is not validation: </w:t>
      </w:r>
      <w:r>
        <w:rPr>
          <w:rFonts w:ascii="Calibri" w:hAnsi="Calibri"/>
          <w:sz w:val="20"/>
        </w:rPr>
        <w:t>features degraded silently while the pipeline exited cleanly. Validate on real artifacts, not return codes.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Test input-boundary changes on real fixtures: </w:t>
      </w:r>
      <w:r>
        <w:rPr>
          <w:rFonts w:ascii="Calibri" w:hAnsi="Calibri"/>
          <w:sz w:val="20"/>
        </w:rPr>
        <w:t>new file types / host paths / env vars fail as silent rejection, which syntax checks never catch — they need an end-to-end test with a real file.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Translate client language: </w:t>
      </w:r>
      <w:r>
        <w:rPr>
          <w:rFonts w:ascii="Calibri" w:hAnsi="Calibri"/>
          <w:sz w:val="20"/>
        </w:rPr>
        <w:t>a non-engineer operator’s words rarely map to UI labels; ask what is on screen and what was clicked before guessing.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Strip jargon for client audiences: </w:t>
      </w:r>
      <w:r>
        <w:rPr>
          <w:rFonts w:ascii="Calibri" w:hAnsi="Calibri"/>
          <w:sz w:val="20"/>
        </w:rPr>
        <w:t>every deck review asked to remove research terminology; client trust comes from plain language and graceful-degradation examples, not metrics.</w:t>
      </w:r>
    </w:p>
    <w:p>
      <w:pPr>
        <w:pStyle w:val="Heading2"/>
      </w:pPr>
      <w:r>
        <w:rPr>
          <w:rFonts w:ascii="Calibri" w:hAnsi="Calibri"/>
          <w:color w:val="2A5A8C"/>
        </w:rPr>
        <w:t>4.3 Q2 Development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728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7632"/>
            <w:shd w:fill="1a3a5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Milestone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Apr 30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/>
                <w:b w:val="0"/>
                <w:sz w:val="18"/>
              </w:rPr>
              <w:t>Per-word confidence live in every pipeline run; client deck born (Round 0)</w:t>
            </w:r>
          </w:p>
        </w:tc>
      </w:tr>
      <w:tr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May 1</w:t>
            </w:r>
          </w:p>
        </w:tc>
        <w:tc>
          <w:tcPr>
            <w:tcW w:type="dxa" w:w="76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N-best aggregation (5 methods) shipped; band-reliability-by-segment analysis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May 2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/>
                <w:b w:val="0"/>
                <w:sz w:val="18"/>
              </w:rPr>
              <w:t>MBR becomes default output; agreement-aware bands; v3 judge confirms +2.7 pp Y+P</w:t>
            </w:r>
          </w:p>
        </w:tc>
      </w:tr>
      <w:tr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May 3</w:t>
            </w:r>
          </w:p>
        </w:tc>
        <w:tc>
          <w:tcPr>
            <w:tcW w:type="dxa" w:w="76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Human-IS Path B estimates; competitive cheat-sheet; client deck Rounds 7–9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May 6–8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/>
                <w:b w:val="0"/>
                <w:sz w:val="18"/>
              </w:rPr>
              <w:t>Academic / ‘For Orchard’ deck rebuilt on MBR numbers; full PNG slide audit</w:t>
            </w:r>
          </w:p>
        </w:tc>
      </w:tr>
      <w:tr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May 6–13</w:t>
            </w:r>
          </w:p>
        </w:tc>
        <w:tc>
          <w:tcPr>
            <w:tcW w:type="dxa" w:w="76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Single-image deployment to air-gapped Win 11 + RTX 5090; 17 bugs fixed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May 11–12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/>
                <w:b w:val="0"/>
                <w:sz w:val="18"/>
              </w:rPr>
              <w:t>Llama 3.1 prep — load + fairseq smoke tests pass; in-field crash fix (Bug 17)</w:t>
            </w:r>
          </w:p>
        </w:tc>
      </w:tr>
      <w:tr>
        <w:tc>
          <w:tcPr>
            <w:tcW w:type="dxa" w:w="1728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May 25</w:t>
            </w:r>
          </w:p>
        </w:tc>
        <w:tc>
          <w:tcPr>
            <w:tcW w:type="dxa" w:w="7632"/>
            <w:shd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Client UX bundle, user guide, audio-injection, 11-format support committed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4.4 Next Quarter (Q3 2026) To-Do</w:t>
      </w:r>
    </w:p>
    <w:p>
      <w:pPr>
        <w:pStyle w:val="Heading3"/>
      </w:pPr>
      <w:r>
        <w:rPr>
          <w:rFonts w:ascii="Calibri" w:hAnsi="Calibri"/>
          <w:color w:val="3A6A9C"/>
        </w:rPr>
        <w:t>Research &amp; Model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Acquire LRS3 (out-of-band) and launch Llama-3.1-8B base fine-tuning; re-baseline vs paper and current WER/IS.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Run the Path A human-IS pilot (n≈50, deaf-adult-with-context stratum first) to confirm the estimated baselines.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Confidence calibration (Mission 4.1) once B3 sidecar data is complete; quality-signal additivity test (Mission 4.2).</w:t>
      </w:r>
    </w:p>
    <w:p>
      <w:pPr>
        <w:pStyle w:val="Heading3"/>
      </w:pPr>
      <w:r>
        <w:rPr>
          <w:rFonts w:ascii="Calibri" w:hAnsi="Calibri"/>
          <w:color w:val="3A6A9C"/>
        </w:rPr>
        <w:t>Client-Driven Features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Multi-speaker support (client priority #2).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Arabic language path (client priority #3).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Save trained k-means weights to the golden list (Mission 16).</w:t>
      </w:r>
    </w:p>
    <w:p>
      <w:pPr>
        <w:pStyle w:val="Heading3"/>
      </w:pPr>
      <w:r>
        <w:rPr>
          <w:rFonts w:ascii="Calibri" w:hAnsi="Calibri"/>
          <w:color w:val="3A6A9C"/>
        </w:rPr>
        <w:t>Operations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Repaint demo-MP4 burn overlays + UI screenshots to the blue/orange/purple palette.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Rebuild the vsp_docker/ image to fold in the per-commit container-overlay changes deferred this quarter.</w:t>
      </w:r>
    </w:p>
    <w:p/>
    <w:p>
      <w:pPr>
        <w:spacing w:after="120"/>
      </w:pPr>
      <w:r>
        <w:rPr>
          <w:rFonts w:ascii="Calibri" w:hAnsi="Calibri"/>
          <w:b w:val="0"/>
          <w:i/>
          <w:color w:val="666666"/>
          <w:sz w:val="22"/>
        </w:rPr>
        <w:t>This summary covers Argos work for Q2 2026 (April 1 – June 15). It is the standalone quarterly companion to the living Project Summary (last full snapshot March 11, 2026). For detailed analysis see the per-topic reports under docs/ (confidence, beam-search, evaluation, finetuning) and the deployment lessons under docs/guides/.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152" w:right="1296" w:bottom="1152" w:left="1296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48" w:val="right"/>
      </w:tabs>
    </w:pPr>
    <w:r>
      <w:drawing>
        <wp:inline distT="0" distB="0" distL="0" distR="0">
          <wp:extent cx="274320" cy="274320"/>
          <wp:docPr id="10" name="Header Logo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4320" cy="274320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i/>
        <w:color w:val="666666"/>
        <w:sz w:val="16"/>
      </w:rPr>
      <w:t>Argos — The Orchard  ·  Q2 2026 Quarterly Summary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