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核医药行业研究报告</w:t>
      </w:r>
    </w:p>
    <w:p>
      <w:pPr>
        <w:jc w:val="center"/>
      </w:pPr>
      <w:r>
        <w:rPr>
          <w:rFonts w:ascii="楷体" w:hAnsi="楷体" w:eastAsia="楷体"/>
          <w:sz w:val="24"/>
        </w:rPr>
        <w:t>2026 年 3 月</w:t>
      </w:r>
    </w:p>
    <w:p/>
    <w:p>
      <w:r>
        <w:rPr>
          <w:rFonts w:ascii="黑体" w:hAnsi="黑体" w:eastAsia="黑体"/>
          <w:b/>
          <w:sz w:val="32"/>
        </w:rPr>
        <w:t>一、行业概述</w:t>
      </w:r>
    </w:p>
    <w:p>
      <w:r>
        <w:rPr>
          <w:rFonts w:ascii="楷体" w:hAnsi="楷体" w:eastAsia="楷体"/>
          <w:b/>
          <w:sz w:val="28"/>
        </w:rPr>
        <w:t>（一）核医药定义</w:t>
      </w:r>
    </w:p>
    <w:p>
      <w:pPr>
        <w:spacing w:line="360" w:lineRule="auto"/>
        <w:ind w:firstLine="425"/>
      </w:pPr>
      <w:r>
        <w:t xml:space="preserve">    核医药（Nuclear Medicine）是利用放射性核素进行疾病诊断、治疗和医学研究的交叉学科，是核技术与医学相结合的产物。</w:t>
      </w:r>
    </w:p>
    <w:p>
      <w:r>
        <w:rPr>
          <w:rFonts w:ascii="楷体" w:hAnsi="楷体" w:eastAsia="楷体"/>
          <w:b/>
          <w:sz w:val="28"/>
        </w:rPr>
        <w:t>（二）核医药分类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代表产品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诊断类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影像学检查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锝 -99m、氟 -18(FDG)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治疗类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肿瘤治疗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碘 -131、镥 -177、钇 -90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诊疗一体化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诊断 + 治疗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镥 -177-PSMA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二、全球核医药市场规模</w:t>
      </w:r>
    </w:p>
    <w:p>
      <w:r>
        <w:rPr>
          <w:rFonts w:ascii="楷体" w:hAnsi="楷体" w:eastAsia="楷体"/>
          <w:b/>
          <w:sz w:val="28"/>
        </w:rPr>
        <w:t>（一）市场数据</w:t>
      </w:r>
    </w:p>
    <w:p>
      <w:pPr>
        <w:spacing w:line="360" w:lineRule="auto"/>
      </w:pPr>
      <w:r>
        <w:t xml:space="preserve">    • 2025 年全球市场规模：约 550 亿美元</w:t>
      </w:r>
    </w:p>
    <w:p>
      <w:pPr>
        <w:spacing w:line="360" w:lineRule="auto"/>
      </w:pPr>
      <w:r>
        <w:t xml:space="preserve">    • 2026 年预测：约 620 亿美元</w:t>
      </w:r>
    </w:p>
    <w:p>
      <w:pPr>
        <w:spacing w:line="360" w:lineRule="auto"/>
      </w:pPr>
      <w:r>
        <w:t xml:space="preserve">    • 年复合增长率 (CAGR)：8-10%</w:t>
      </w:r>
    </w:p>
    <w:p>
      <w:pPr>
        <w:spacing w:line="360" w:lineRule="auto"/>
      </w:pPr>
      <w:r>
        <w:t xml:space="preserve">    • 2030 年预测：突破 900 亿美元</w:t>
      </w:r>
    </w:p>
    <w:p>
      <w:r>
        <w:rPr>
          <w:rFonts w:ascii="楷体" w:hAnsi="楷体" w:eastAsia="楷体"/>
          <w:b/>
          <w:sz w:val="28"/>
        </w:rPr>
        <w:t>（二）区域分布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地区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市场份额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增长率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北美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欧洲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亚太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8%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三、中国核医药市场</w:t>
      </w:r>
    </w:p>
    <w:p>
      <w:r>
        <w:rPr>
          <w:rFonts w:ascii="楷体" w:hAnsi="楷体" w:eastAsia="楷体"/>
          <w:b/>
          <w:sz w:val="28"/>
        </w:rPr>
        <w:t>（一）市场规模</w:t>
      </w:r>
    </w:p>
    <w:p>
      <w:pPr>
        <w:spacing w:line="360" w:lineRule="auto"/>
      </w:pPr>
      <w:r>
        <w:t xml:space="preserve">    • 2025 年中国市场规模：约 85 亿元人民币</w:t>
      </w:r>
    </w:p>
    <w:p>
      <w:pPr>
        <w:spacing w:line="360" w:lineRule="auto"/>
      </w:pPr>
      <w:r>
        <w:t xml:space="preserve">    • 2026 年预测：约 100 亿元人民币</w:t>
      </w:r>
    </w:p>
    <w:p>
      <w:pPr>
        <w:spacing w:line="360" w:lineRule="auto"/>
      </w:pPr>
      <w:r>
        <w:t xml:space="preserve">    • 年复合增长率：15-20%（高于全球平均水平）</w:t>
      </w:r>
    </w:p>
    <w:p>
      <w:r>
        <w:rPr>
          <w:rFonts w:ascii="楷体" w:hAnsi="楷体" w:eastAsia="楷体"/>
          <w:b/>
          <w:sz w:val="28"/>
        </w:rPr>
        <w:t>（二）主要企业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企业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主要产品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市场地位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中国同辐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锝 -99m、碘 -131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国内龙头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东诚药业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氟 -18、碳 -11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民营领先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恒瑞医药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诊疗一体化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新兴力量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先声药业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放射性药物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快速追赶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四、技术发展趋势</w:t>
      </w:r>
    </w:p>
    <w:p>
      <w:r>
        <w:rPr>
          <w:rFonts w:ascii="楷体" w:hAnsi="楷体" w:eastAsia="楷体"/>
          <w:b/>
          <w:sz w:val="28"/>
        </w:rPr>
        <w:t>（一）诊疗一体化 (Theranostics)</w:t>
      </w:r>
    </w:p>
    <w:p>
      <w:pPr>
        <w:spacing w:line="360" w:lineRule="auto"/>
        <w:ind w:firstLine="425"/>
      </w:pPr>
      <w:r>
        <w:t xml:space="preserve">    诊疗一体化是核医药领域最具前景的发展方向，核心逻辑是"同一种靶点，诊断 + 治疗"：</w:t>
      </w:r>
    </w:p>
    <w:p>
      <w:pPr>
        <w:spacing w:line="360" w:lineRule="auto"/>
      </w:pPr>
      <w:r>
        <w:t xml:space="preserve">    • 诊断：用放射性核素标记配体，定位肿瘤</w:t>
      </w:r>
    </w:p>
    <w:p>
      <w:pPr>
        <w:spacing w:line="360" w:lineRule="auto"/>
      </w:pPr>
      <w:r>
        <w:t xml:space="preserve">    • 治疗：用治疗性核素标记相同配体，精准杀伤</w:t>
      </w:r>
    </w:p>
    <w:p>
      <w:pPr>
        <w:spacing w:line="360" w:lineRule="auto"/>
        <w:ind w:firstLine="425"/>
      </w:pPr>
      <w:r>
        <w:t xml:space="preserve">    代表产品：镥 -177-PSMA（前列腺癌）、镥 -177-DOTATATE（神经内分泌瘤）、砹 -211 标记抗体（实体瘤）</w:t>
      </w:r>
    </w:p>
    <w:p>
      <w:r>
        <w:rPr>
          <w:rFonts w:ascii="楷体" w:hAnsi="楷体" w:eastAsia="楷体"/>
          <w:b/>
          <w:sz w:val="28"/>
        </w:rPr>
        <w:t>（二）新型放射性核素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半衰期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应用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镥 -177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6.7 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肿瘤治疗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锕 -225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 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α粒子治疗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铜 -64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 小时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PET 成像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锆 -89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78.4 小时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抗体成像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五、产业链分析</w:t>
      </w:r>
    </w:p>
    <w:p>
      <w:r>
        <w:rPr>
          <w:rFonts w:ascii="楷体" w:hAnsi="楷体" w:eastAsia="楷体"/>
          <w:b/>
          <w:sz w:val="28"/>
        </w:rPr>
        <w:t>（上游）</w:t>
      </w:r>
    </w:p>
    <w:p>
      <w:pPr>
        <w:spacing w:line="360" w:lineRule="auto"/>
        <w:ind w:firstLine="425"/>
      </w:pPr>
      <w:r>
        <w:t xml:space="preserve">    反应堆生产：钼 -99、碘 -131、镥 -177；加速器生产：氟 -18、碳 -11、氧 -15；关键瓶颈：高丰度低浓铀供应、反应堆老化</w:t>
      </w:r>
    </w:p>
    <w:p>
      <w:r>
        <w:rPr>
          <w:rFonts w:ascii="楷体" w:hAnsi="楷体" w:eastAsia="楷体"/>
          <w:b/>
          <w:sz w:val="28"/>
        </w:rPr>
        <w:t>（中游）</w:t>
      </w:r>
    </w:p>
    <w:p>
      <w:pPr>
        <w:spacing w:line="360" w:lineRule="auto"/>
        <w:ind w:firstLine="425"/>
      </w:pPr>
      <w:r>
        <w:t xml:space="preserve">    放射性标记合成；质量控制（无菌、无热源、放射化学纯度）；半衰期限制（需就近生产配送）</w:t>
      </w:r>
    </w:p>
    <w:p>
      <w:r>
        <w:rPr>
          <w:rFonts w:ascii="楷体" w:hAnsi="楷体" w:eastAsia="楷体"/>
          <w:b/>
          <w:sz w:val="28"/>
        </w:rPr>
        <w:t>（下游）</w:t>
      </w:r>
    </w:p>
    <w:p>
      <w:pPr>
        <w:spacing w:line="360" w:lineRule="auto"/>
        <w:ind w:firstLine="425"/>
      </w:pPr>
      <w:r>
        <w:t xml:space="preserve">    核医学科；PET-CT/PET-MR 中心；放射治疗科</w:t>
      </w:r>
    </w:p>
    <w:p/>
    <w:p>
      <w:r>
        <w:rPr>
          <w:rFonts w:ascii="黑体" w:hAnsi="黑体" w:eastAsia="黑体"/>
          <w:b/>
          <w:sz w:val="32"/>
        </w:rPr>
        <w:t>六、投资热点</w:t>
      </w:r>
    </w:p>
    <w:p>
      <w:r>
        <w:rPr>
          <w:rFonts w:ascii="楷体" w:hAnsi="楷体" w:eastAsia="楷体"/>
          <w:b/>
          <w:sz w:val="28"/>
        </w:rPr>
        <w:t>（一）热门赛道</w:t>
      </w:r>
    </w:p>
    <w:p>
      <w:pPr>
        <w:spacing w:line="360" w:lineRule="auto"/>
      </w:pPr>
      <w:r>
        <w:t xml:space="preserve">    • α核素治疗：锕 -225、铅 -212 等，杀伤力更强</w:t>
      </w:r>
    </w:p>
    <w:p>
      <w:pPr>
        <w:spacing w:line="360" w:lineRule="auto"/>
      </w:pPr>
      <w:r>
        <w:t xml:space="preserve">    • FAP 靶点：广谱肿瘤成像与治疗</w:t>
      </w:r>
    </w:p>
    <w:p>
      <w:pPr>
        <w:spacing w:line="360" w:lineRule="auto"/>
      </w:pPr>
      <w:r>
        <w:t xml:space="preserve">    • 核素偶联药物 (RDC)：类似 ADC 概念</w:t>
      </w:r>
    </w:p>
    <w:p>
      <w:pPr>
        <w:spacing w:line="360" w:lineRule="auto"/>
      </w:pPr>
      <w:r>
        <w:t xml:space="preserve">    • 小型加速器：医院现场生产氟 -18</w:t>
      </w:r>
    </w:p>
    <w:p>
      <w:r>
        <w:rPr>
          <w:rFonts w:ascii="楷体" w:hAnsi="楷体" w:eastAsia="楷体"/>
          <w:b/>
          <w:sz w:val="28"/>
        </w:rPr>
        <w:t>（二）风险因素</w:t>
      </w:r>
    </w:p>
    <w:p>
      <w:pPr>
        <w:spacing w:line="360" w:lineRule="auto"/>
      </w:pPr>
      <w:r>
        <w:t xml:space="preserve">    • 监管审批周期长</w:t>
      </w:r>
    </w:p>
    <w:p>
      <w:pPr>
        <w:spacing w:line="360" w:lineRule="auto"/>
      </w:pPr>
      <w:r>
        <w:t xml:space="preserve">    • 同位素供应不稳定</w:t>
      </w:r>
    </w:p>
    <w:p>
      <w:pPr>
        <w:spacing w:line="360" w:lineRule="auto"/>
      </w:pPr>
      <w:r>
        <w:t xml:space="preserve">    • 半衰期限制物流半径</w:t>
      </w:r>
    </w:p>
    <w:p>
      <w:pPr>
        <w:spacing w:line="360" w:lineRule="auto"/>
      </w:pPr>
      <w:r>
        <w:t xml:space="preserve">    • 专业人才短缺</w:t>
      </w:r>
    </w:p>
    <w:p/>
    <w:p>
      <w:r>
        <w:rPr>
          <w:rFonts w:ascii="黑体" w:hAnsi="黑体" w:eastAsia="黑体"/>
          <w:b/>
          <w:sz w:val="32"/>
        </w:rPr>
        <w:t>七、总结与展望</w:t>
      </w:r>
    </w:p>
    <w:p>
      <w:pPr>
        <w:spacing w:line="360" w:lineRule="auto"/>
        <w:ind w:firstLine="425"/>
      </w:pPr>
      <w:r>
        <w:t xml:space="preserve">    核医药行业正处于快速发展期，诊疗一体化技术突破、政策支持加强、资本持续涌入，推动行业进入黄金发展期。中国作为全球增长最快的市场，本土企业有望在产业链各环节实现突破。</w:t>
      </w:r>
    </w:p>
    <w:p>
      <w:pPr>
        <w:spacing w:line="360" w:lineRule="auto"/>
        <w:ind w:firstLine="0"/>
      </w:pPr>
      <w:r>
        <w:t xml:space="preserve">    核心观点：</w:t>
      </w:r>
    </w:p>
    <w:p>
      <w:pPr>
        <w:spacing w:line="360" w:lineRule="auto"/>
        <w:ind w:firstLine="0"/>
      </w:pPr>
      <w:r>
        <w:t xml:space="preserve">    1. 诊疗一体化是未来 5-10 年最大风口</w:t>
      </w:r>
    </w:p>
    <w:p>
      <w:pPr>
        <w:spacing w:line="360" w:lineRule="auto"/>
        <w:ind w:firstLine="0"/>
      </w:pPr>
      <w:r>
        <w:t xml:space="preserve">    2. 核素供应是行业瓶颈，国产化是关键</w:t>
      </w:r>
    </w:p>
    <w:p>
      <w:pPr>
        <w:spacing w:line="360" w:lineRule="auto"/>
        <w:ind w:firstLine="0"/>
      </w:pPr>
      <w:r>
        <w:t xml:space="preserve">    3. 中国市场规模有望在 2030 年突破 300 亿元</w:t>
      </w:r>
    </w:p>
    <w:p>
      <w:pPr>
        <w:spacing w:line="360" w:lineRule="auto"/>
        <w:ind w:firstLine="0"/>
      </w:pPr>
      <w:r>
        <w:t xml:space="preserve">    4. 创新药企与传统核药企业将加速融合</w:t>
      </w:r>
    </w:p>
    <w:p/>
    <w:p/>
    <w:p>
      <w:pPr>
        <w:jc w:val="center"/>
      </w:pPr>
      <w:r>
        <w:rPr>
          <w:sz w:val="18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sz w:val="18"/>
        </w:rPr>
        <w:t>报告生成时间：2026 年 3 月 24 日    数据来源：行业公开资料整理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