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120" w:after="240"/>
        <w:ind w:firstLine="0"/>
        <w:jc w:val="center"/>
      </w:pPr>
      <w:r>
        <w:rPr>
          <w:rFonts w:ascii="Times New Roman" w:hAnsi="Times New Roman" w:eastAsia="方正小标宋简体" w:cs="Times New Roman"/>
          <w:b/>
          <w:i w:val="0"/>
          <w:color w:val="000000"/>
          <w:sz w:val="44"/>
        </w:rPr>
        <w:t>四川生物医药产业集团创新事业部政策信息简报</w:t>
      </w:r>
    </w:p>
    <w:p>
      <w:pPr>
        <w:spacing w:line="360" w:lineRule="auto" w:before="0" w:after="80"/>
        <w:ind w:firstLine="480"/>
        <w:jc w:val="both"/>
      </w:pPr>
      <w:r>
        <w:rPr>
          <w:rFonts w:ascii="Times New Roman" w:hAnsi="Times New Roman" w:eastAsia="方正仿宋简体" w:cs="Times New Roman"/>
          <w:b w:val="0"/>
          <w:i w:val="0"/>
          <w:color w:val="000000"/>
          <w:sz w:val="24"/>
        </w:rPr>
        <w:t>为及时研判行业监管动向与政策红利，现将截至2026年10月21日本周最新发布的医药产业重点政策及文件摘要汇总如下：</w:t>
      </w:r>
    </w:p>
    <w:p>
      <w:pPr>
        <w:spacing w:line="360" w:lineRule="auto" w:before="120" w:after="60"/>
        <w:ind w:firstLine="480"/>
        <w:jc w:val="both"/>
      </w:pPr>
      <w:r>
        <w:rPr>
          <w:rFonts w:ascii="Times New Roman" w:hAnsi="Times New Roman" w:eastAsia="黑体" w:cs="Times New Roman"/>
          <w:b w:val="0"/>
          <w:i w:val="0"/>
          <w:color w:val="000000"/>
          <w:sz w:val="24"/>
        </w:rPr>
        <w:t>一、本周重点政策速览清单</w:t>
      </w:r>
    </w:p>
    <w:tbl>
      <w:tblPr>
        <w:tblW w:type="auto" w:w="0"/>
        <w:jc w:val="center"/>
        <w:tblLayout w:type="fixed"/>
        <w:tblLook w:firstColumn="1" w:firstRow="1" w:lastColumn="0" w:lastRow="0" w:noHBand="0" w:noVBand="1" w:val="04A0"/>
      </w:tblPr>
      <w:tblGrid>
        <w:gridCol w:w="2211"/>
        <w:gridCol w:w="2211"/>
        <w:gridCol w:w="2211"/>
        <w:gridCol w:w="2211"/>
      </w:tblGrid>
      <w:tr>
        <w:tc>
          <w:tcPr>
            <w:tcW w:type="dxa" w:w="79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序号</w:t>
            </w:r>
          </w:p>
        </w:tc>
        <w:tc>
          <w:tcPr>
            <w:tcW w:type="dxa" w:w="4535"/>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政策文件名称</w:t>
            </w:r>
          </w:p>
        </w:tc>
        <w:tc>
          <w:tcPr>
            <w:tcW w:type="dxa" w:w="2154"/>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发布机关</w:t>
            </w:r>
          </w:p>
        </w:tc>
        <w:tc>
          <w:tcPr>
            <w:tcW w:type="dxa" w:w="1361"/>
            <w:tcBorders>
              <w:top w:val="single" w:sz="12" w:color="000000"/>
              <w:left w:val="none"/>
              <w:bottom w:val="single" w:sz="6" w:color="000000"/>
              <w:right w:val="none"/>
            </w:tcBorders>
          </w:tcPr>
          <w:p>
            <w:pPr>
              <w:spacing w:line="240" w:lineRule="auto" w:before="60" w:after="60"/>
              <w:ind w:firstLine="0"/>
              <w:jc w:val="center"/>
            </w:pPr>
            <w:r/>
            <w:r>
              <w:rPr>
                <w:rFonts w:ascii="Times New Roman" w:hAnsi="Times New Roman" w:eastAsia="黑体" w:cs="Times New Roman"/>
                <w:b/>
                <w:i w:val="0"/>
                <w:color w:val="000000"/>
                <w:sz w:val="24"/>
              </w:rPr>
              <w:t>发布日期</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1</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人力资源社会保障部等4部门关于支持海洋经济发展促进就业创业的通知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人力资源社会保障部 自然资源部 国家发展改革委 交通运输部</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2026-06-16</w:t>
            </w:r>
          </w:p>
        </w:tc>
      </w:tr>
      <w:tr>
        <w:tc>
          <w:tcPr>
            <w:tcW w:type="dxa" w:w="794"/>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w:t>
            </w:r>
          </w:p>
        </w:tc>
        <w:tc>
          <w:tcPr>
            <w:tcW w:type="dxa" w:w="4535"/>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国务院就业促进和劳动保护工作领导小组关于印发《加力重点领域、重点行业、城乡基层和中小微企业岗位挖潜扩容 支持重点群体就业创业实施方案》的通知</w:t>
            </w:r>
          </w:p>
        </w:tc>
        <w:tc>
          <w:tcPr>
            <w:tcW w:type="dxa" w:w="2154"/>
            <w:tcBorders>
              <w:top w:val="none"/>
              <w:left w:val="none"/>
              <w:bottom w:val="none"/>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国务院就业促进和劳动保护工作领导小组</w:t>
            </w:r>
          </w:p>
        </w:tc>
        <w:tc>
          <w:tcPr>
            <w:tcW w:type="dxa" w:w="1361"/>
            <w:tcBorders>
              <w:top w:val="none"/>
              <w:left w:val="none"/>
              <w:bottom w:val="none"/>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2025-03-27</w:t>
            </w:r>
          </w:p>
        </w:tc>
      </w:tr>
      <w:tr>
        <w:tc>
          <w:tcPr>
            <w:tcW w:type="dxa" w:w="794"/>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3</w:t>
            </w:r>
          </w:p>
        </w:tc>
        <w:tc>
          <w:tcPr>
            <w:tcW w:type="dxa" w:w="4535"/>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农业农村部落实中共中央国务院关于进一步深化农村改革扎实推进乡村全面振兴工作部署的实施意见</w:t>
            </w:r>
          </w:p>
        </w:tc>
        <w:tc>
          <w:tcPr>
            <w:tcW w:type="dxa" w:w="2154"/>
            <w:tcBorders>
              <w:top w:val="none"/>
              <w:left w:val="none"/>
              <w:bottom w:val="single" w:sz="12" w:color="000000"/>
              <w:right w:val="none"/>
            </w:tcBorders>
          </w:tcPr>
          <w:p>
            <w:pPr>
              <w:spacing w:line="240" w:lineRule="auto" w:before="60" w:after="60"/>
              <w:ind w:firstLine="0"/>
              <w:jc w:val="left"/>
            </w:pPr>
            <w:r/>
            <w:r>
              <w:rPr>
                <w:rFonts w:ascii="Times New Roman" w:hAnsi="Times New Roman" w:eastAsia="方正仿宋简体" w:cs="Times New Roman"/>
                <w:b w:val="0"/>
                <w:i w:val="0"/>
                <w:color w:val="000000"/>
                <w:sz w:val="24"/>
              </w:rPr>
              <w:t>农业农村部</w:t>
            </w:r>
          </w:p>
        </w:tc>
        <w:tc>
          <w:tcPr>
            <w:tcW w:type="dxa" w:w="1361"/>
            <w:tcBorders>
              <w:top w:val="none"/>
              <w:left w:val="none"/>
              <w:bottom w:val="single" w:sz="12" w:color="000000"/>
              <w:right w:val="none"/>
            </w:tcBorders>
          </w:tcPr>
          <w:p>
            <w:pPr>
              <w:spacing w:line="240" w:lineRule="auto" w:before="60" w:after="60"/>
              <w:ind w:firstLine="0"/>
              <w:jc w:val="center"/>
            </w:pPr>
            <w:r/>
            <w:r>
              <w:rPr>
                <w:rFonts w:ascii="Times New Roman" w:hAnsi="Times New Roman" w:eastAsia="方正仿宋简体" w:cs="Times New Roman"/>
                <w:b w:val="0"/>
                <w:i w:val="0"/>
                <w:color w:val="000000"/>
                <w:sz w:val="24"/>
              </w:rPr>
              <w:t>2025-02-25</w:t>
            </w:r>
          </w:p>
        </w:tc>
      </w:tr>
    </w:tbl>
    <w:p>
      <w:pPr>
        <w:spacing w:line="360" w:lineRule="auto" w:before="160" w:after="60"/>
        <w:ind w:firstLine="480"/>
        <w:jc w:val="both"/>
      </w:pPr>
      <w:r>
        <w:rPr>
          <w:rFonts w:ascii="Times New Roman" w:hAnsi="Times New Roman" w:eastAsia="黑体" w:cs="Times New Roman"/>
          <w:b w:val="0"/>
          <w:i w:val="0"/>
          <w:color w:val="000000"/>
          <w:sz w:val="24"/>
        </w:rPr>
        <w:t>二、本周重点政策要点与文件摘要</w:t>
      </w:r>
    </w:p>
    <w:p>
      <w:pPr>
        <w:spacing w:line="360" w:lineRule="auto" w:before="80" w:after="0"/>
        <w:ind w:firstLine="480"/>
        <w:jc w:val="both"/>
      </w:pPr>
      <w:r>
        <w:rPr>
          <w:rFonts w:ascii="Times New Roman" w:hAnsi="Times New Roman" w:eastAsia="方正仿宋简体" w:cs="Times New Roman"/>
          <w:b/>
          <w:i w:val="0"/>
          <w:color w:val="000000"/>
          <w:sz w:val="24"/>
        </w:rPr>
        <w:t>1. 《人力资源社会保障部等4部门关于支持海洋经济发展促进就业创业的通知》（发布机关：人力资源社会保障部 自然资源部 国家发展改革委 交通运输部，发布日期：2026-06-16）</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生物制品产业，支持涉海类高等学校、科研院所与企业深度合作，为海洋科研人员、医疗器械研发工程师等搭建研发推广平台，促进大健康产业高质量发展，吸纳更多高校毕业生等青年就业创业。着力提升海洋产业智能化、绿色化水平</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https://www.gov.cn/zhengce/zhengceku/202606/content_7072347.htm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2. 《国务院就业促进和劳动保护工作领导小组关于印发《加力重点领域、重点行业、城乡基层和中小微企业岗位挖潜扩容 支持重点群体就业创业实施方案》的通知》（发布机关：国务院就业促进和劳动保护工作领导小组，发布日期：2025-03-27）</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行业稳增长工作方案，研究保持制造业合理比重投入机制，落实“两重”、“两新”政策，稳住制造业就业规模。持续开展先进制造业促就业行动，实施制造业重点产业链高质量发展行动，培育智能装备、电子信息、生物医药、</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https://www.gov.cn/zhengce/zhengceku/202503/content_7015975.htm</w:t>
      </w:r>
      <w:r>
        <w:rPr>
          <w:rFonts w:ascii="Times New Roman" w:hAnsi="Times New Roman" w:eastAsia="方正仿宋简体" w:cs="Times New Roman"/>
          <w:b w:val="0"/>
          <w:i w:val="0"/>
          <w:color w:val="000000"/>
          <w:sz w:val="24"/>
        </w:rPr>
        <w:t>）</w:t>
      </w:r>
    </w:p>
    <w:p>
      <w:pPr>
        <w:spacing w:line="360" w:lineRule="auto" w:before="80" w:after="0"/>
        <w:ind w:firstLine="480"/>
        <w:jc w:val="both"/>
      </w:pPr>
      <w:r>
        <w:rPr>
          <w:rFonts w:ascii="Times New Roman" w:hAnsi="Times New Roman" w:eastAsia="方正仿宋简体" w:cs="Times New Roman"/>
          <w:b/>
          <w:i w:val="0"/>
          <w:color w:val="000000"/>
          <w:sz w:val="24"/>
        </w:rPr>
        <w:t>3. 《农业农村部落实中共中央国务院关于进一步深化农村改革扎实推进乡村全面振兴工作部署的实施意见》（发布机关：农业农村部，发布日期：2025-02-25）</w:t>
      </w:r>
    </w:p>
    <w:p>
      <w:pPr>
        <w:spacing w:line="360" w:lineRule="auto" w:before="0" w:after="60"/>
        <w:ind w:firstLine="480"/>
        <w:jc w:val="both"/>
      </w:pPr>
      <w:r>
        <w:rPr>
          <w:rFonts w:ascii="Times New Roman" w:hAnsi="Times New Roman" w:eastAsia="方正仿宋简体" w:cs="Times New Roman"/>
          <w:b w:val="0"/>
          <w:i w:val="0"/>
          <w:color w:val="000000"/>
          <w:sz w:val="24"/>
        </w:rPr>
        <w:t>文件主要内容与核心要点：应对气候变化韧性。探索开展“天空地”一体化农情灾情监测。加快建设区域农机社会化服务中心和区域农业应急救灾中心。组织“虫口夺粮”保丰收行动，统筹农作物病虫害监测防控基础设施和人才队伍建设，大力推进统防</w:t>
      </w:r>
      <w:r>
        <w:rPr>
          <w:rFonts w:ascii="Times New Roman" w:hAnsi="Times New Roman" w:eastAsia="方正仿宋简体" w:cs="Times New Roman"/>
          <w:b w:val="0"/>
          <w:i w:val="0"/>
          <w:color w:val="000000"/>
          <w:sz w:val="24"/>
        </w:rPr>
        <w:t>（官方原文直达：</w:t>
      </w:r>
      <w:r>
        <w:rPr>
          <w:rFonts w:ascii="Times New Roman" w:hAnsi="Times New Roman" w:eastAsia="方正仿宋简体" w:cs="Times New Roman"/>
          <w:b w:val="0"/>
          <w:i w:val="0"/>
          <w:color w:val="004886"/>
          <w:sz w:val="24"/>
          <w:u w:val="single"/>
        </w:rPr>
        <w:t>https://www.gov.cn/zhengce/zhengceku/202502/content_7005554.htm</w:t>
      </w:r>
      <w:r>
        <w:rPr>
          <w:rFonts w:ascii="Times New Roman" w:hAnsi="Times New Roman" w:eastAsia="方正仿宋简体" w:cs="Times New Roman"/>
          <w:b w:val="0"/>
          <w:i w:val="0"/>
          <w:color w:val="000000"/>
          <w:sz w:val="24"/>
        </w:rPr>
        <w:t>）</w:t>
      </w:r>
    </w:p>
    <w:sectPr w:rsidR="00FC693F" w:rsidRPr="0006063C" w:rsidSect="00034616">
      <w:footerReference w:type="default" r:id="rId9"/>
      <w:footerReference w:type="even" r:id="rId10"/>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right"/>
    </w:pPr>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1</w:t>
    </w:r>
    <w:r>
      <w:fldChar w:fldCharType="end"/>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ind w:firstLine="0"/>
      <w:jc w:val="left"/>
    </w:pPr>
    <w:r/>
    <w:r>
      <w:rPr>
        <w:rFonts w:ascii="Times New Roman" w:hAnsi="Times New Roman" w:eastAsia="Times New Roman" w:cs="Times New Roman"/>
        <w:b w:val="0"/>
        <w:i w:val="0"/>
        <w:color w:val="000000"/>
        <w:sz w:val="28"/>
      </w:rPr>
      <w:t xml:space="preserve">　</w:t>
    </w:r>
    <w:r>
      <w:rPr>
        <w:rFonts w:ascii="Times New Roman" w:hAnsi="Times New Roman" w:eastAsia="Times New Roman" w:cs="Times New Roman"/>
        <w:b w:val="0"/>
        <w:i w:val="0"/>
        <w:color w:val="000000"/>
        <w:sz w:val="28"/>
      </w:rPr>
      <w:t xml:space="preserve">— </w:t>
    </w:r>
    <w:r>
      <w:fldChar w:fldCharType="begin"/>
    </w:r>
    <w:r>
      <w:instrText xml:space="preserve"> PAGE </w:instrText>
    </w:r>
    <w:r>
      <w:fldChar w:fldCharType="separate"/>
    </w:r>
    <w:r>
      <w:rPr>
        <w:rFonts w:ascii="Times New Roman" w:hAnsi="Times New Roman" w:eastAsia="Times New Roman" w:cs="Times New Roman"/>
        <w:b w:val="0"/>
        <w:i w:val="0"/>
        <w:color w:val="000000"/>
        <w:sz w:val="28"/>
      </w:rPr>
      <w:t>2</w:t>
    </w:r>
    <w:r>
      <w:fldChar w:fldCharType="end"/>
    </w:r>
    <w:r>
      <w:rPr>
        <w:rFonts w:ascii="Times New Roman" w:hAnsi="Times New Roman" w:eastAsia="Times New Roman" w:cs="Times New Roman"/>
        <w:b w:val="0"/>
        <w:i w:val="0"/>
        <w:color w:val="000000"/>
        <w:sz w:val="2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