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120" w:after="240"/>
        <w:ind w:firstLine="0"/>
        <w:jc w:val="center"/>
      </w:pPr>
      <w:r>
        <w:rPr>
          <w:rFonts w:ascii="Times New Roman" w:hAnsi="Times New Roman" w:eastAsia="方正小标宋简体" w:cs="Times New Roman"/>
          <w:b/>
          <w:i w:val="0"/>
          <w:color w:val="000000"/>
          <w:sz w:val="44"/>
        </w:rPr>
        <w:t>四川生物医药产业集团创新事业部政策信息简报</w:t>
      </w:r>
    </w:p>
    <w:p>
      <w:pPr>
        <w:spacing w:line="360" w:lineRule="auto" w:before="0" w:after="80"/>
        <w:ind w:firstLine="480"/>
        <w:jc w:val="both"/>
      </w:pPr>
      <w:r>
        <w:rPr>
          <w:rFonts w:ascii="Times New Roman" w:hAnsi="Times New Roman" w:eastAsia="方正仿宋简体" w:cs="Times New Roman"/>
          <w:b w:val="0"/>
          <w:i w:val="0"/>
          <w:color w:val="000000"/>
          <w:sz w:val="24"/>
        </w:rPr>
        <w:t>为及时研判行业监管动向与政策红利，现将截至2026年09月11日本周最新发布的医药产业重点政策及文件摘要汇总如下：</w:t>
      </w:r>
    </w:p>
    <w:p>
      <w:pPr>
        <w:spacing w:line="360" w:lineRule="auto" w:before="120" w:after="60"/>
        <w:ind w:firstLine="480"/>
        <w:jc w:val="both"/>
      </w:pPr>
      <w:r>
        <w:rPr>
          <w:rFonts w:ascii="Times New Roman" w:hAnsi="Times New Roman" w:eastAsia="黑体" w:cs="Times New Roman"/>
          <w:b w:val="0"/>
          <w:i w:val="0"/>
          <w:color w:val="000000"/>
          <w:sz w:val="24"/>
        </w:rPr>
        <w:t>一、本周重点政策速览清单</w:t>
      </w:r>
    </w:p>
    <w:tbl>
      <w:tblPr>
        <w:tblW w:type="auto" w:w="0"/>
        <w:jc w:val="center"/>
        <w:tblLayout w:type="fixed"/>
        <w:tblLook w:firstColumn="1" w:firstRow="1" w:lastColumn="0" w:lastRow="0" w:noHBand="0" w:noVBand="1" w:val="04A0"/>
      </w:tblPr>
      <w:tblGrid>
        <w:gridCol w:w="2211"/>
        <w:gridCol w:w="2211"/>
        <w:gridCol w:w="2211"/>
        <w:gridCol w:w="2211"/>
      </w:tblGrid>
      <w:tr>
        <w:tc>
          <w:tcPr>
            <w:tcW w:type="dxa" w:w="79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序号</w:t>
            </w:r>
          </w:p>
        </w:tc>
        <w:tc>
          <w:tcPr>
            <w:tcW w:type="dxa" w:w="4535"/>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政策文件名称</w:t>
            </w:r>
          </w:p>
        </w:tc>
        <w:tc>
          <w:tcPr>
            <w:tcW w:type="dxa" w:w="215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发布机关</w:t>
            </w:r>
          </w:p>
        </w:tc>
        <w:tc>
          <w:tcPr>
            <w:tcW w:type="dxa" w:w="1361"/>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发布日期</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1</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人力资源社会保障部等4部门关于支持海洋经济发展促进就业创业的通知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人力资源社会保障部 自然资源部 国家发展改革委 交通运输部</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2026-06-16</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国务院就业促进和劳动保护工作领导小组关于印发《加力重点领域、重点行业、城乡基层和中小微企业岗位挖潜扩容 支持重点群体就业创业实施方案》的通知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2025-03-27</w:t>
            </w:r>
          </w:p>
        </w:tc>
      </w:tr>
      <w:tr>
        <w:tc>
          <w:tcPr>
            <w:tcW w:type="dxa" w:w="794"/>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3</w:t>
            </w:r>
          </w:p>
        </w:tc>
        <w:tc>
          <w:tcPr>
            <w:tcW w:type="dxa" w:w="4535"/>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农业农村部落实中共中央国务院关于进一步深化农村改革扎实推进乡村全面振兴工作部署的实施意见</w:t>
            </w:r>
          </w:p>
        </w:tc>
        <w:tc>
          <w:tcPr>
            <w:tcW w:type="dxa" w:w="2154"/>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w:t>
            </w:r>
          </w:p>
        </w:tc>
        <w:tc>
          <w:tcPr>
            <w:tcW w:type="dxa" w:w="1361"/>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2025-02-25</w:t>
            </w:r>
          </w:p>
        </w:tc>
      </w:tr>
    </w:tbl>
    <w:p>
      <w:pPr>
        <w:spacing w:line="360" w:lineRule="auto" w:before="160" w:after="60"/>
        <w:ind w:firstLine="480"/>
        <w:jc w:val="both"/>
      </w:pPr>
      <w:r>
        <w:rPr>
          <w:rFonts w:ascii="Times New Roman" w:hAnsi="Times New Roman" w:eastAsia="黑体" w:cs="Times New Roman"/>
          <w:b w:val="0"/>
          <w:i w:val="0"/>
          <w:color w:val="000000"/>
          <w:sz w:val="24"/>
        </w:rPr>
        <w:t>二、本周重点政策要点与文件摘要</w:t>
      </w:r>
    </w:p>
    <w:p>
      <w:pPr>
        <w:spacing w:line="360" w:lineRule="auto" w:before="80" w:after="0"/>
        <w:ind w:firstLine="480"/>
        <w:jc w:val="both"/>
      </w:pPr>
      <w:r>
        <w:rPr>
          <w:rFonts w:ascii="Times New Roman" w:hAnsi="Times New Roman" w:eastAsia="方正仿宋简体" w:cs="Times New Roman"/>
          <w:b/>
          <w:i w:val="0"/>
          <w:color w:val="000000"/>
          <w:sz w:val="24"/>
        </w:rPr>
        <w:t>1. 《人力资源社会保障部等4部门关于支持海洋经济发展促进就业创业的通知》（发布机关：人力资源社会保障部 自然资源部 国家发展改革委 交通运输部，发布日期：2026-06-16）</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生物制品产业，支持涉海类高等学校、科研院所与企业深度合作，为海洋科研人员、医疗器械研发工程师等搭建研发推广平台，促进大健康产业高质量发展，吸纳更多高校毕业生等青年就业创业。着力提升海洋产业智能化、绿色化水平</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https://www.gov.cn/zhengce/zhengceku/202606/content_7072347.htm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2. 《国务院就业促进和劳动保护工作领导小组关于印发《加力重点领域、重点行业、城乡基层和中小微企业岗位挖潜扩容 支持重点群体就业创业实施方案》的通知》（发布机关：国务院就业促进和劳动保护工作领导小组，发布日期：2025-03-27）</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行业稳增长工作方案，研究保持制造业合理比重投入机制，落实“两重”、“两新”政策，稳住制造业就业规模。持续开展先进制造业促就业行动，实施制造业重点产业链高质量发展行动，培育智能装备、电子信息、生物医药、</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https://www.gov.cn/zhengce/zhengceku/202503/content_7015975.htm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3. 《农业农村部落实中共中央国务院关于进一步深化农村改革扎实推进乡村全面振兴工作部署的实施意见》（发布机关：农业农村部，发布日期：2025-02-25）</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应对气候变化韧性。探索开展“天空地”一体化农情灾情监测。加快建设区域农机社会化服务中心和区域农业应急救灾中心。组织“虫口夺粮”保丰收行动，统筹农作物病虫害监测防控基础设施和人才队伍建设，大力推进统防</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https://www.gov.cn/zhengce/zhengceku/202502/content_7005554.htm</w:t>
      </w:r>
      <w:r>
        <w:rPr>
          <w:rFonts w:ascii="Times New Roman" w:hAnsi="Times New Roman" w:eastAsia="方正仿宋简体" w:cs="Times New Roman"/>
          <w:b w:val="0"/>
          <w:i w:val="0"/>
          <w:color w:val="000000"/>
          <w:sz w:val="24"/>
        </w:rPr>
        <w:t>）</w:t>
      </w:r>
    </w:p>
    <w:sectPr w:rsidR="00FC693F" w:rsidRPr="0006063C" w:rsidSect="00034616">
      <w:footerReference w:type="default" r:id="rId9"/>
      <w:footerReference w:type="even" r:id="rId10"/>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right"/>
    </w:pPr>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1</w:t>
    </w:r>
    <w:r>
      <w:fldChar w:fldCharType="end"/>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left"/>
    </w:pPr>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2</w:t>
    </w:r>
    <w:r>
      <w:fldChar w:fldCharType="end"/>
    </w:r>
    <w:r>
      <w:rPr>
        <w:rFonts w:ascii="Times New Roman" w:hAnsi="Times New Roman" w:eastAsia="Times New Roman" w:cs="Times New Roman"/>
        <w:b w:val="0"/>
        <w:i w:val="0"/>
        <w:color w:val="000000"/>
        <w:sz w:val="2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