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 w:before="120" w:after="240"/>
        <w:ind w:firstLine="0"/>
        <w:jc w:val="center"/>
      </w:pPr>
      <w:r>
        <w:rPr>
          <w:rFonts w:ascii="Times New Roman" w:hAnsi="Times New Roman" w:eastAsia="方正小标宋简体" w:cs="Times New Roman"/>
          <w:b/>
          <w:i w:val="0"/>
          <w:color w:val="000000"/>
          <w:sz w:val="44"/>
        </w:rPr>
        <w:t>四川生物医药产业集团创新事业部政策信息简报</w:t>
      </w:r>
    </w:p>
    <w:p>
      <w:pPr>
        <w:spacing w:line="360" w:lineRule="auto" w:before="0" w:after="80"/>
        <w:ind w:firstLine="480"/>
        <w:jc w:val="both"/>
      </w:pPr>
      <w:r>
        <w:rPr>
          <w:rFonts w:ascii="Times New Roman" w:hAnsi="Times New Roman" w:eastAsia="方正仿宋简体" w:cs="Times New Roman"/>
          <w:b w:val="0"/>
          <w:i w:val="0"/>
          <w:color w:val="000000"/>
          <w:sz w:val="24"/>
        </w:rPr>
        <w:t>为及时研判行业监管动向与政策红利，现将截至2026年08月26日本周最新发布的医药产业重点政策及文件摘要汇总如下：</w:t>
      </w:r>
    </w:p>
    <w:p>
      <w:pPr>
        <w:spacing w:line="360" w:lineRule="auto" w:before="120" w:after="60"/>
        <w:ind w:firstLine="480"/>
        <w:jc w:val="both"/>
      </w:pPr>
      <w:r>
        <w:rPr>
          <w:rFonts w:ascii="Times New Roman" w:hAnsi="Times New Roman" w:eastAsia="黑体" w:cs="Times New Roman"/>
          <w:b w:val="0"/>
          <w:i w:val="0"/>
          <w:color w:val="000000"/>
          <w:sz w:val="24"/>
        </w:rPr>
        <w:t>一、本周重点政策速览清单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11"/>
        <w:gridCol w:w="2211"/>
        <w:gridCol w:w="2211"/>
        <w:gridCol w:w="2211"/>
      </w:tblGrid>
      <w:tr>
        <w:tc>
          <w:tcPr>
            <w:tcW w:type="dxa" w:w="794"/>
            <w:tcBorders>
              <w:top w:val="single" w:sz="12" w:color="000000"/>
              <w:left w:val="none"/>
              <w:bottom w:val="single" w:sz="6" w:color="000000"/>
              <w:right w:val="none"/>
            </w:tcBorders>
          </w:tcPr>
          <w:p>
            <w:pPr>
              <w:spacing w:line="240" w:lineRule="auto" w:before="60" w:after="60"/>
              <w:ind w:firstLine="0"/>
              <w:jc w:val="center"/>
            </w:pPr>
            <w:r/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4"/>
              </w:rPr>
              <w:t>序号</w:t>
            </w:r>
          </w:p>
        </w:tc>
        <w:tc>
          <w:tcPr>
            <w:tcW w:type="dxa" w:w="4535"/>
            <w:tcBorders>
              <w:top w:val="single" w:sz="12" w:color="000000"/>
              <w:left w:val="none"/>
              <w:bottom w:val="single" w:sz="6" w:color="000000"/>
              <w:right w:val="none"/>
            </w:tcBorders>
          </w:tcPr>
          <w:p>
            <w:pPr>
              <w:spacing w:line="240" w:lineRule="auto" w:before="60" w:after="60"/>
              <w:ind w:firstLine="0"/>
              <w:jc w:val="center"/>
            </w:pPr>
            <w:r/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4"/>
              </w:rPr>
              <w:t>政策文件名称</w:t>
            </w:r>
          </w:p>
        </w:tc>
        <w:tc>
          <w:tcPr>
            <w:tcW w:type="dxa" w:w="2154"/>
            <w:tcBorders>
              <w:top w:val="single" w:sz="12" w:color="000000"/>
              <w:left w:val="none"/>
              <w:bottom w:val="single" w:sz="6" w:color="000000"/>
              <w:right w:val="none"/>
            </w:tcBorders>
          </w:tcPr>
          <w:p>
            <w:pPr>
              <w:spacing w:line="240" w:lineRule="auto" w:before="60" w:after="60"/>
              <w:ind w:firstLine="0"/>
              <w:jc w:val="center"/>
            </w:pPr>
            <w:r/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4"/>
              </w:rPr>
              <w:t>发布机关</w:t>
            </w:r>
          </w:p>
        </w:tc>
        <w:tc>
          <w:tcPr>
            <w:tcW w:type="dxa" w:w="1361"/>
            <w:tcBorders>
              <w:top w:val="single" w:sz="12" w:color="000000"/>
              <w:left w:val="none"/>
              <w:bottom w:val="single" w:sz="6" w:color="000000"/>
              <w:right w:val="none"/>
            </w:tcBorders>
          </w:tcPr>
          <w:p>
            <w:pPr>
              <w:spacing w:line="240" w:lineRule="auto" w:before="60" w:after="60"/>
              <w:ind w:firstLine="0"/>
              <w:jc w:val="center"/>
            </w:pPr>
            <w:r/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4"/>
              </w:rPr>
              <w:t>发布日期</w:t>
            </w:r>
          </w:p>
        </w:tc>
      </w:tr>
      <w:tr>
        <w:tc>
          <w:tcPr>
            <w:tcW w:type="dxa" w:w="794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line="240" w:lineRule="auto" w:before="60" w:after="60"/>
              <w:ind w:firstLine="0"/>
              <w:jc w:val="center"/>
            </w:pPr>
            <w:r/>
            <w:r>
              <w:rPr>
                <w:rFonts w:ascii="Times New Roman" w:hAnsi="Times New Roman" w:eastAsia="方正仿宋简体" w:cs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4535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line="240" w:lineRule="auto" w:before="60" w:after="60"/>
              <w:ind w:firstLine="0"/>
              <w:jc w:val="left"/>
            </w:pPr>
            <w:r/>
            <w:r>
              <w:rPr>
                <w:rFonts w:ascii="Times New Roman" w:hAnsi="Times New Roman" w:eastAsia="方正仿宋简体" w:cs="Times New Roman"/>
                <w:b w:val="0"/>
                <w:i w:val="0"/>
                <w:color w:val="000000"/>
                <w:sz w:val="24"/>
              </w:rPr>
              <w:t>2026世界机器人大会在京开幕（工信部：聚焦医疗等重点行业深化应用联动）</w:t>
            </w:r>
          </w:p>
        </w:tc>
        <w:tc>
          <w:tcPr>
            <w:tcW w:type="dxa" w:w="2154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line="240" w:lineRule="auto" w:before="60" w:after="60"/>
              <w:ind w:firstLine="0"/>
              <w:jc w:val="left"/>
            </w:pPr>
            <w:r/>
            <w:r>
              <w:rPr>
                <w:rFonts w:ascii="Times New Roman" w:hAnsi="Times New Roman" w:eastAsia="方正仿宋简体" w:cs="Times New Roman"/>
                <w:b w:val="0"/>
                <w:i w:val="0"/>
                <w:color w:val="000000"/>
                <w:sz w:val="24"/>
              </w:rPr>
              <w:t>中华人民共和国工业和信息化部</w:t>
            </w:r>
          </w:p>
        </w:tc>
        <w:tc>
          <w:tcPr>
            <w:tcW w:type="dxa" w:w="1361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line="240" w:lineRule="auto" w:before="60" w:after="60"/>
              <w:ind w:firstLine="0"/>
              <w:jc w:val="center"/>
            </w:pPr>
            <w:r/>
            <w:r>
              <w:rPr>
                <w:rFonts w:ascii="Times New Roman" w:hAnsi="Times New Roman" w:eastAsia="方正仿宋简体" w:cs="Times New Roman"/>
                <w:b w:val="0"/>
                <w:i w:val="0"/>
                <w:color w:val="000000"/>
                <w:sz w:val="24"/>
              </w:rPr>
              <w:t>2026-08-19</w:t>
            </w:r>
          </w:p>
        </w:tc>
      </w:tr>
      <w:tr>
        <w:tc>
          <w:tcPr>
            <w:tcW w:type="dxa" w:w="794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line="240" w:lineRule="auto" w:before="60" w:after="60"/>
              <w:ind w:firstLine="0"/>
              <w:jc w:val="center"/>
            </w:pPr>
            <w:r/>
            <w:r>
              <w:rPr>
                <w:rFonts w:ascii="Times New Roman" w:hAnsi="Times New Roman" w:eastAsia="方正仿宋简体" w:cs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4535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line="240" w:lineRule="auto" w:before="60" w:after="60"/>
              <w:ind w:firstLine="0"/>
              <w:jc w:val="left"/>
            </w:pPr>
            <w:r/>
            <w:r>
              <w:rPr>
                <w:rFonts w:ascii="Times New Roman" w:hAnsi="Times New Roman" w:eastAsia="方正仿宋简体" w:cs="Times New Roman"/>
                <w:b w:val="0"/>
                <w:i w:val="0"/>
                <w:color w:val="000000"/>
                <w:sz w:val="24"/>
              </w:rPr>
              <w:t>关于对细胞与基因治疗药品“先锐计划”相关工作文件公开征求意见的通知</w:t>
            </w:r>
          </w:p>
        </w:tc>
        <w:tc>
          <w:tcPr>
            <w:tcW w:type="dxa" w:w="2154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line="240" w:lineRule="auto" w:before="60" w:after="60"/>
              <w:ind w:firstLine="0"/>
              <w:jc w:val="left"/>
            </w:pPr>
            <w:r/>
            <w:r>
              <w:rPr>
                <w:rFonts w:ascii="Times New Roman" w:hAnsi="Times New Roman" w:eastAsia="方正仿宋简体" w:cs="Times New Roman"/>
                <w:b w:val="0"/>
                <w:i w:val="0"/>
                <w:color w:val="000000"/>
                <w:sz w:val="24"/>
              </w:rPr>
              <w:t>国家药品监督管理局药品审评中心（CDE）</w:t>
            </w:r>
          </w:p>
        </w:tc>
        <w:tc>
          <w:tcPr>
            <w:tcW w:type="dxa" w:w="1361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line="240" w:lineRule="auto" w:before="60" w:after="60"/>
              <w:ind w:firstLine="0"/>
              <w:jc w:val="center"/>
            </w:pPr>
            <w:r/>
            <w:r>
              <w:rPr>
                <w:rFonts w:ascii="Times New Roman" w:hAnsi="Times New Roman" w:eastAsia="方正仿宋简体" w:cs="Times New Roman"/>
                <w:b w:val="0"/>
                <w:i w:val="0"/>
                <w:color w:val="000000"/>
                <w:sz w:val="24"/>
              </w:rPr>
              <w:t>2026-08-19</w:t>
            </w:r>
          </w:p>
        </w:tc>
      </w:tr>
      <w:tr>
        <w:tc>
          <w:tcPr>
            <w:tcW w:type="dxa" w:w="794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line="240" w:lineRule="auto" w:before="60" w:after="60"/>
              <w:ind w:firstLine="0"/>
              <w:jc w:val="center"/>
            </w:pPr>
            <w:r/>
            <w:r>
              <w:rPr>
                <w:rFonts w:ascii="Times New Roman" w:hAnsi="Times New Roman" w:eastAsia="方正仿宋简体" w:cs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4535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line="240" w:lineRule="auto" w:before="60" w:after="60"/>
              <w:ind w:firstLine="0"/>
              <w:jc w:val="left"/>
            </w:pPr>
            <w:r/>
            <w:r>
              <w:rPr>
                <w:rFonts w:ascii="Times New Roman" w:hAnsi="Times New Roman" w:eastAsia="方正仿宋简体" w:cs="Times New Roman"/>
                <w:b w:val="0"/>
                <w:i w:val="0"/>
                <w:color w:val="000000"/>
                <w:sz w:val="24"/>
              </w:rPr>
              <w:t>关于印发《全民医疗保障“十五五”规划》的通知</w:t>
            </w:r>
          </w:p>
        </w:tc>
        <w:tc>
          <w:tcPr>
            <w:tcW w:type="dxa" w:w="2154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line="240" w:lineRule="auto" w:before="60" w:after="60"/>
              <w:ind w:firstLine="0"/>
              <w:jc w:val="left"/>
            </w:pPr>
            <w:r/>
            <w:r>
              <w:rPr>
                <w:rFonts w:ascii="Times New Roman" w:hAnsi="Times New Roman" w:eastAsia="方正仿宋简体" w:cs="Times New Roman"/>
                <w:b w:val="0"/>
                <w:i w:val="0"/>
                <w:color w:val="000000"/>
                <w:sz w:val="24"/>
              </w:rPr>
              <w:t>国家医疗保障局</w:t>
            </w:r>
          </w:p>
        </w:tc>
        <w:tc>
          <w:tcPr>
            <w:tcW w:type="dxa" w:w="1361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line="240" w:lineRule="auto" w:before="60" w:after="60"/>
              <w:ind w:firstLine="0"/>
              <w:jc w:val="center"/>
            </w:pPr>
            <w:r/>
            <w:r>
              <w:rPr>
                <w:rFonts w:ascii="Times New Roman" w:hAnsi="Times New Roman" w:eastAsia="方正仿宋简体" w:cs="Times New Roman"/>
                <w:b w:val="0"/>
                <w:i w:val="0"/>
                <w:color w:val="000000"/>
                <w:sz w:val="24"/>
              </w:rPr>
              <w:t>2026-08-19</w:t>
            </w:r>
          </w:p>
        </w:tc>
      </w:tr>
      <w:tr>
        <w:tc>
          <w:tcPr>
            <w:tcW w:type="dxa" w:w="794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line="240" w:lineRule="auto" w:before="60" w:after="60"/>
              <w:ind w:firstLine="0"/>
              <w:jc w:val="center"/>
            </w:pPr>
            <w:r/>
            <w:r>
              <w:rPr>
                <w:rFonts w:ascii="Times New Roman" w:hAnsi="Times New Roman" w:eastAsia="方正仿宋简体" w:cs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4535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line="240" w:lineRule="auto" w:before="60" w:after="60"/>
              <w:ind w:firstLine="0"/>
              <w:jc w:val="left"/>
            </w:pPr>
            <w:r/>
            <w:r>
              <w:rPr>
                <w:rFonts w:ascii="Times New Roman" w:hAnsi="Times New Roman" w:eastAsia="方正仿宋简体" w:cs="Times New Roman"/>
                <w:b w:val="0"/>
                <w:i w:val="0"/>
                <w:color w:val="000000"/>
                <w:sz w:val="24"/>
              </w:rPr>
              <w:t>关于公开征求《植入式脑机接口运动功能代偿类医疗器械技术审评要点（征求意见稿）》意见的通知</w:t>
            </w:r>
          </w:p>
        </w:tc>
        <w:tc>
          <w:tcPr>
            <w:tcW w:type="dxa" w:w="2154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line="240" w:lineRule="auto" w:before="60" w:after="60"/>
              <w:ind w:firstLine="0"/>
              <w:jc w:val="left"/>
            </w:pPr>
            <w:r/>
            <w:r>
              <w:rPr>
                <w:rFonts w:ascii="Times New Roman" w:hAnsi="Times New Roman" w:eastAsia="方正仿宋简体" w:cs="Times New Roman"/>
                <w:b w:val="0"/>
                <w:i w:val="0"/>
                <w:color w:val="000000"/>
                <w:sz w:val="24"/>
              </w:rPr>
              <w:t>国家药品监督管理局医疗器械技术审评中心（CMDE）</w:t>
            </w:r>
          </w:p>
        </w:tc>
        <w:tc>
          <w:tcPr>
            <w:tcW w:type="dxa" w:w="1361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line="240" w:lineRule="auto" w:before="60" w:after="60"/>
              <w:ind w:firstLine="0"/>
              <w:jc w:val="center"/>
            </w:pPr>
            <w:r/>
            <w:r>
              <w:rPr>
                <w:rFonts w:ascii="Times New Roman" w:hAnsi="Times New Roman" w:eastAsia="方正仿宋简体" w:cs="Times New Roman"/>
                <w:b w:val="0"/>
                <w:i w:val="0"/>
                <w:color w:val="000000"/>
                <w:sz w:val="24"/>
              </w:rPr>
              <w:t>2026-08-18</w:t>
            </w:r>
          </w:p>
        </w:tc>
      </w:tr>
      <w:tr>
        <w:tc>
          <w:tcPr>
            <w:tcW w:type="dxa" w:w="794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line="240" w:lineRule="auto" w:before="60" w:after="60"/>
              <w:ind w:firstLine="0"/>
              <w:jc w:val="center"/>
            </w:pPr>
            <w:r/>
            <w:r>
              <w:rPr>
                <w:rFonts w:ascii="Times New Roman" w:hAnsi="Times New Roman" w:eastAsia="方正仿宋简体" w:cs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4535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line="240" w:lineRule="auto" w:before="60" w:after="60"/>
              <w:ind w:firstLine="0"/>
              <w:jc w:val="left"/>
            </w:pPr>
            <w:r/>
            <w:r>
              <w:rPr>
                <w:rFonts w:ascii="Times New Roman" w:hAnsi="Times New Roman" w:eastAsia="方正仿宋简体" w:cs="Times New Roman"/>
                <w:b w:val="0"/>
                <w:i w:val="0"/>
                <w:color w:val="000000"/>
                <w:sz w:val="24"/>
              </w:rPr>
              <w:t>关于公开征求ICH《M15：模型引导的药物研发》指导原则实施建议和中文翻译稿意见的通知</w:t>
            </w:r>
          </w:p>
        </w:tc>
        <w:tc>
          <w:tcPr>
            <w:tcW w:type="dxa" w:w="2154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line="240" w:lineRule="auto" w:before="60" w:after="60"/>
              <w:ind w:firstLine="0"/>
              <w:jc w:val="left"/>
            </w:pPr>
            <w:r/>
            <w:r>
              <w:rPr>
                <w:rFonts w:ascii="Times New Roman" w:hAnsi="Times New Roman" w:eastAsia="方正仿宋简体" w:cs="Times New Roman"/>
                <w:b w:val="0"/>
                <w:i w:val="0"/>
                <w:color w:val="000000"/>
                <w:sz w:val="24"/>
              </w:rPr>
              <w:t>国家药品监督管理局药品审评中心（CDE）</w:t>
            </w:r>
          </w:p>
        </w:tc>
        <w:tc>
          <w:tcPr>
            <w:tcW w:type="dxa" w:w="1361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line="240" w:lineRule="auto" w:before="60" w:after="60"/>
              <w:ind w:firstLine="0"/>
              <w:jc w:val="center"/>
            </w:pPr>
            <w:r/>
            <w:r>
              <w:rPr>
                <w:rFonts w:ascii="Times New Roman" w:hAnsi="Times New Roman" w:eastAsia="方正仿宋简体" w:cs="Times New Roman"/>
                <w:b w:val="0"/>
                <w:i w:val="0"/>
                <w:color w:val="000000"/>
                <w:sz w:val="24"/>
              </w:rPr>
              <w:t>2026-07-31</w:t>
            </w:r>
          </w:p>
        </w:tc>
      </w:tr>
      <w:tr>
        <w:tc>
          <w:tcPr>
            <w:tcW w:type="dxa" w:w="794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line="240" w:lineRule="auto" w:before="60" w:after="60"/>
              <w:ind w:firstLine="0"/>
              <w:jc w:val="center"/>
            </w:pPr>
            <w:r/>
            <w:r>
              <w:rPr>
                <w:rFonts w:ascii="Times New Roman" w:hAnsi="Times New Roman" w:eastAsia="方正仿宋简体" w:cs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4535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line="240" w:lineRule="auto" w:before="60" w:after="60"/>
              <w:ind w:firstLine="0"/>
              <w:jc w:val="left"/>
            </w:pPr>
            <w:r/>
            <w:r>
              <w:rPr>
                <w:rFonts w:ascii="Times New Roman" w:hAnsi="Times New Roman" w:eastAsia="方正仿宋简体" w:cs="Times New Roman"/>
                <w:b w:val="0"/>
                <w:i w:val="0"/>
                <w:color w:val="000000"/>
                <w:sz w:val="24"/>
              </w:rPr>
              <w:t>关于印发《优化全生命周期监管服务促进医疗器械高质量发展若干举措》的通知</w:t>
            </w:r>
          </w:p>
        </w:tc>
        <w:tc>
          <w:tcPr>
            <w:tcW w:type="dxa" w:w="2154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line="240" w:lineRule="auto" w:before="60" w:after="60"/>
              <w:ind w:firstLine="0"/>
              <w:jc w:val="left"/>
            </w:pPr>
            <w:r/>
            <w:r>
              <w:rPr>
                <w:rFonts w:ascii="Times New Roman" w:hAnsi="Times New Roman" w:eastAsia="方正仿宋简体" w:cs="Times New Roman"/>
                <w:b w:val="0"/>
                <w:i w:val="0"/>
                <w:color w:val="000000"/>
                <w:sz w:val="24"/>
              </w:rPr>
              <w:t>四川省药品监督管理局</w:t>
            </w:r>
          </w:p>
        </w:tc>
        <w:tc>
          <w:tcPr>
            <w:tcW w:type="dxa" w:w="1361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line="240" w:lineRule="auto" w:before="60" w:after="60"/>
              <w:ind w:firstLine="0"/>
              <w:jc w:val="center"/>
            </w:pPr>
            <w:r/>
            <w:r>
              <w:rPr>
                <w:rFonts w:ascii="Times New Roman" w:hAnsi="Times New Roman" w:eastAsia="方正仿宋简体" w:cs="Times New Roman"/>
                <w:b w:val="0"/>
                <w:i w:val="0"/>
                <w:color w:val="000000"/>
                <w:sz w:val="24"/>
              </w:rPr>
              <w:t>2026-07-31</w:t>
            </w:r>
          </w:p>
        </w:tc>
      </w:tr>
      <w:tr>
        <w:tc>
          <w:tcPr>
            <w:tcW w:type="dxa" w:w="794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line="240" w:lineRule="auto" w:before="60" w:after="60"/>
              <w:ind w:firstLine="0"/>
              <w:jc w:val="center"/>
            </w:pPr>
            <w:r/>
            <w:r>
              <w:rPr>
                <w:rFonts w:ascii="Times New Roman" w:hAnsi="Times New Roman" w:eastAsia="方正仿宋简体" w:cs="Times New Roman"/>
                <w:b w:val="0"/>
                <w:i w:val="0"/>
                <w:color w:val="000000"/>
                <w:sz w:val="24"/>
              </w:rPr>
              <w:t>7</w:t>
            </w:r>
          </w:p>
        </w:tc>
        <w:tc>
          <w:tcPr>
            <w:tcW w:type="dxa" w:w="4535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line="240" w:lineRule="auto" w:before="60" w:after="60"/>
              <w:ind w:firstLine="0"/>
              <w:jc w:val="left"/>
            </w:pPr>
            <w:r/>
            <w:r>
              <w:rPr>
                <w:rFonts w:ascii="Times New Roman" w:hAnsi="Times New Roman" w:eastAsia="方正仿宋简体" w:cs="Times New Roman"/>
                <w:b w:val="0"/>
                <w:i w:val="0"/>
                <w:color w:val="000000"/>
                <w:sz w:val="24"/>
              </w:rPr>
              <w:t>关于印发《上海市加快推进新型工业化构建现代化产业体系“十五五”规划》的通知</w:t>
            </w:r>
          </w:p>
        </w:tc>
        <w:tc>
          <w:tcPr>
            <w:tcW w:type="dxa" w:w="2154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line="240" w:lineRule="auto" w:before="60" w:after="60"/>
              <w:ind w:firstLine="0"/>
              <w:jc w:val="left"/>
            </w:pPr>
            <w:r/>
            <w:r>
              <w:rPr>
                <w:rFonts w:ascii="Times New Roman" w:hAnsi="Times New Roman" w:eastAsia="方正仿宋简体" w:cs="Times New Roman"/>
                <w:b w:val="0"/>
                <w:i w:val="0"/>
                <w:color w:val="000000"/>
                <w:sz w:val="24"/>
              </w:rPr>
              <w:t>上海市人民政府</w:t>
            </w:r>
          </w:p>
        </w:tc>
        <w:tc>
          <w:tcPr>
            <w:tcW w:type="dxa" w:w="1361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line="240" w:lineRule="auto" w:before="60" w:after="60"/>
              <w:ind w:firstLine="0"/>
              <w:jc w:val="center"/>
            </w:pPr>
            <w:r/>
            <w:r>
              <w:rPr>
                <w:rFonts w:ascii="Times New Roman" w:hAnsi="Times New Roman" w:eastAsia="方正仿宋简体" w:cs="Times New Roman"/>
                <w:b w:val="0"/>
                <w:i w:val="0"/>
                <w:color w:val="000000"/>
                <w:sz w:val="24"/>
              </w:rPr>
              <w:t>2026-07-27</w:t>
            </w:r>
          </w:p>
        </w:tc>
      </w:tr>
      <w:tr>
        <w:tc>
          <w:tcPr>
            <w:tcW w:type="dxa" w:w="794"/>
            <w:tcBorders>
              <w:top w:val="none"/>
              <w:left w:val="none"/>
              <w:bottom w:val="single" w:sz="12" w:color="000000"/>
              <w:right w:val="none"/>
            </w:tcBorders>
          </w:tcPr>
          <w:p>
            <w:pPr>
              <w:spacing w:line="240" w:lineRule="auto" w:before="60" w:after="60"/>
              <w:ind w:firstLine="0"/>
              <w:jc w:val="center"/>
            </w:pPr>
            <w:r/>
            <w:r>
              <w:rPr>
                <w:rFonts w:ascii="Times New Roman" w:hAnsi="Times New Roman" w:eastAsia="方正仿宋简体" w:cs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4535"/>
            <w:tcBorders>
              <w:top w:val="none"/>
              <w:left w:val="none"/>
              <w:bottom w:val="single" w:sz="12" w:color="000000"/>
              <w:right w:val="none"/>
            </w:tcBorders>
          </w:tcPr>
          <w:p>
            <w:pPr>
              <w:spacing w:line="240" w:lineRule="auto" w:before="60" w:after="60"/>
              <w:ind w:firstLine="0"/>
              <w:jc w:val="left"/>
            </w:pPr>
            <w:r/>
            <w:r>
              <w:rPr>
                <w:rFonts w:ascii="Times New Roman" w:hAnsi="Times New Roman" w:eastAsia="方正仿宋简体" w:cs="Times New Roman"/>
                <w:b w:val="0"/>
                <w:i w:val="0"/>
                <w:color w:val="000000"/>
                <w:sz w:val="24"/>
              </w:rPr>
              <w:t>人力资源社会保障部等4部门关于支持海洋经济发展促进就业创业的通知</w:t>
            </w:r>
          </w:p>
        </w:tc>
        <w:tc>
          <w:tcPr>
            <w:tcW w:type="dxa" w:w="2154"/>
            <w:tcBorders>
              <w:top w:val="none"/>
              <w:left w:val="none"/>
              <w:bottom w:val="single" w:sz="12" w:color="000000"/>
              <w:right w:val="none"/>
            </w:tcBorders>
          </w:tcPr>
          <w:p>
            <w:pPr>
              <w:spacing w:line="240" w:lineRule="auto" w:before="60" w:after="60"/>
              <w:ind w:firstLine="0"/>
              <w:jc w:val="left"/>
            </w:pPr>
            <w:r/>
            <w:r>
              <w:rPr>
                <w:rFonts w:ascii="Times New Roman" w:hAnsi="Times New Roman" w:eastAsia="方正仿宋简体" w:cs="Times New Roman"/>
                <w:b w:val="0"/>
                <w:i w:val="0"/>
                <w:color w:val="000000"/>
                <w:sz w:val="24"/>
              </w:rPr>
              <w:t>人力资源社会保障部 自然资源部 国家发展改革委 交通运输部</w:t>
            </w:r>
          </w:p>
        </w:tc>
        <w:tc>
          <w:tcPr>
            <w:tcW w:type="dxa" w:w="1361"/>
            <w:tcBorders>
              <w:top w:val="none"/>
              <w:left w:val="none"/>
              <w:bottom w:val="single" w:sz="12" w:color="000000"/>
              <w:right w:val="none"/>
            </w:tcBorders>
          </w:tcPr>
          <w:p>
            <w:pPr>
              <w:spacing w:line="240" w:lineRule="auto" w:before="60" w:after="60"/>
              <w:ind w:firstLine="0"/>
              <w:jc w:val="center"/>
            </w:pPr>
            <w:r/>
            <w:r>
              <w:rPr>
                <w:rFonts w:ascii="Times New Roman" w:hAnsi="Times New Roman" w:eastAsia="方正仿宋简体" w:cs="Times New Roman"/>
                <w:b w:val="0"/>
                <w:i w:val="0"/>
                <w:color w:val="000000"/>
                <w:sz w:val="24"/>
              </w:rPr>
              <w:t>2026-06-16</w:t>
            </w:r>
          </w:p>
        </w:tc>
      </w:tr>
    </w:tbl>
    <w:p>
      <w:pPr>
        <w:spacing w:line="360" w:lineRule="auto" w:before="160" w:after="60"/>
        <w:ind w:firstLine="480"/>
        <w:jc w:val="both"/>
      </w:pPr>
      <w:r>
        <w:rPr>
          <w:rFonts w:ascii="Times New Roman" w:hAnsi="Times New Roman" w:eastAsia="黑体" w:cs="Times New Roman"/>
          <w:b w:val="0"/>
          <w:i w:val="0"/>
          <w:color w:val="000000"/>
          <w:sz w:val="24"/>
        </w:rPr>
        <w:t>二、本周重点政策要点与文件摘要</w:t>
      </w:r>
    </w:p>
    <w:p>
      <w:pPr>
        <w:spacing w:line="360" w:lineRule="auto" w:before="80" w:after="0"/>
        <w:ind w:firstLine="480"/>
        <w:jc w:val="both"/>
      </w:pPr>
      <w:r>
        <w:rPr>
          <w:rFonts w:ascii="Times New Roman" w:hAnsi="Times New Roman" w:eastAsia="方正仿宋简体" w:cs="Times New Roman"/>
          <w:b/>
          <w:i w:val="0"/>
          <w:color w:val="000000"/>
          <w:sz w:val="24"/>
        </w:rPr>
        <w:t>1. 《2026世界机器人大会在京开幕（工信部：聚焦医疗等重点行业深化应用联动）》（发布机关：中华人民共和国工业和信息化部，发布日期：2026-08-19）</w:t>
      </w:r>
    </w:p>
    <w:p>
      <w:pPr>
        <w:spacing w:line="360" w:lineRule="auto" w:before="0" w:after="60"/>
        <w:ind w:firstLine="480"/>
        <w:jc w:val="both"/>
      </w:pPr>
      <w:r>
        <w:rPr>
          <w:rFonts w:ascii="Times New Roman" w:hAnsi="Times New Roman" w:eastAsia="方正仿宋简体" w:cs="Times New Roman"/>
          <w:b w:val="0"/>
          <w:i w:val="0"/>
          <w:color w:val="000000"/>
          <w:sz w:val="24"/>
        </w:rPr>
        <w:t>文件主要内容与核心要点：工信部在2026世界机器人大会开幕式明确，将聚焦医疗、养老、农业、应急等应用空间广的重点行业，分类组织产用结对攻关、实地应用验证和成熟场景推广；2025年机器人规上企业营业收入突破3000亿元，上半年同比增长24.5%。为医疗机器人企业与场景方释放明确政策信号：有望获得行业应用试点、验证与推广支持。建议企业围绕临床真实场景积极申报结对攻关与示范项目，争取政策资源。</w:t>
      </w:r>
      <w:r>
        <w:rPr>
          <w:rFonts w:ascii="Times New Roman" w:hAnsi="Times New Roman" w:eastAsia="方正仿宋简体" w:cs="Times New Roman"/>
          <w:b w:val="0"/>
          <w:i w:val="0"/>
          <w:color w:val="000000"/>
          <w:sz w:val="24"/>
        </w:rPr>
        <w:t>（官方原文直达：</w:t>
      </w:r>
      <w:r>
        <w:rPr>
          <w:rFonts w:ascii="Times New Roman" w:hAnsi="Times New Roman" w:eastAsia="方正仿宋简体" w:cs="Times New Roman"/>
          <w:b w:val="0"/>
          <w:i w:val="0"/>
          <w:color w:val="004886"/>
          <w:sz w:val="24"/>
          <w:u w:val="single"/>
        </w:rPr>
        <w:t>https://www.miit.gov.cn/xwfb/bldhd/art/2026/art_18a2e30182d44a4ea7c2c1295704dfee.html</w:t>
      </w:r>
      <w:r>
        <w:rPr>
          <w:rFonts w:ascii="Times New Roman" w:hAnsi="Times New Roman" w:eastAsia="方正仿宋简体" w:cs="Times New Roman"/>
          <w:b w:val="0"/>
          <w:i w:val="0"/>
          <w:color w:val="000000"/>
          <w:sz w:val="24"/>
        </w:rPr>
        <w:t>）</w:t>
      </w:r>
    </w:p>
    <w:p>
      <w:pPr>
        <w:spacing w:line="360" w:lineRule="auto" w:before="80" w:after="0"/>
        <w:ind w:firstLine="480"/>
        <w:jc w:val="both"/>
      </w:pPr>
      <w:r>
        <w:rPr>
          <w:rFonts w:ascii="Times New Roman" w:hAnsi="Times New Roman" w:eastAsia="方正仿宋简体" w:cs="Times New Roman"/>
          <w:b/>
          <w:i w:val="0"/>
          <w:color w:val="000000"/>
          <w:sz w:val="24"/>
        </w:rPr>
        <w:t>2. 《关于对细胞与基因治疗药品“先锐计划”相关工作文件公开征求意见的通知》（发布机关：国家药品监督管理局药品审评中心（CDE），发布日期：2026-08-19）</w:t>
      </w:r>
    </w:p>
    <w:p>
      <w:pPr>
        <w:spacing w:line="360" w:lineRule="auto" w:before="0" w:after="60"/>
        <w:ind w:firstLine="480"/>
        <w:jc w:val="both"/>
      </w:pPr>
      <w:r>
        <w:rPr>
          <w:rFonts w:ascii="Times New Roman" w:hAnsi="Times New Roman" w:eastAsia="方正仿宋简体" w:cs="Times New Roman"/>
          <w:b w:val="0"/>
          <w:i w:val="0"/>
          <w:color w:val="000000"/>
          <w:sz w:val="24"/>
        </w:rPr>
        <w:t>文件主要内容与核心要点：CDE拟启动CGT药品“先锐计划”，面向具有新靶点/新机制的创新药及已上市品种工艺重大变更，提供关键阶段沟通交流、受理靠前服务、上市后变更审评时限优化等全链条支持，每年最多纳入15个品种，企业可经“申请人之窗”以I类会议途径申请。利好细胞与基因治疗研发企业：为高价值管线提供加速审评通道与研发指导。建议按反馈时限提交意见，并提前准备纳入申请材料。注：链接为中国食品药品网（药监系统官方媒体）报道，原文见CDE官网通知公告。</w:t>
      </w:r>
      <w:r>
        <w:rPr>
          <w:rFonts w:ascii="Times New Roman" w:hAnsi="Times New Roman" w:eastAsia="方正仿宋简体" w:cs="Times New Roman"/>
          <w:b w:val="0"/>
          <w:i w:val="0"/>
          <w:color w:val="000000"/>
          <w:sz w:val="24"/>
        </w:rPr>
        <w:t>（官方原文直达：</w:t>
      </w:r>
      <w:r>
        <w:rPr>
          <w:rFonts w:ascii="Times New Roman" w:hAnsi="Times New Roman" w:eastAsia="方正仿宋简体" w:cs="Times New Roman"/>
          <w:b w:val="0"/>
          <w:i w:val="0"/>
          <w:color w:val="004886"/>
          <w:sz w:val="24"/>
          <w:u w:val="single"/>
        </w:rPr>
        <w:t>https://m.cnpharm.com/c/2026-08-20/1104951.shtml</w:t>
      </w:r>
      <w:r>
        <w:rPr>
          <w:rFonts w:ascii="Times New Roman" w:hAnsi="Times New Roman" w:eastAsia="方正仿宋简体" w:cs="Times New Roman"/>
          <w:b w:val="0"/>
          <w:i w:val="0"/>
          <w:color w:val="000000"/>
          <w:sz w:val="24"/>
        </w:rPr>
        <w:t>）</w:t>
      </w:r>
    </w:p>
    <w:p>
      <w:pPr>
        <w:spacing w:line="360" w:lineRule="auto" w:before="80" w:after="0"/>
        <w:ind w:firstLine="480"/>
        <w:jc w:val="both"/>
      </w:pPr>
      <w:r>
        <w:rPr>
          <w:rFonts w:ascii="Times New Roman" w:hAnsi="Times New Roman" w:eastAsia="方正仿宋简体" w:cs="Times New Roman"/>
          <w:b/>
          <w:i w:val="0"/>
          <w:color w:val="000000"/>
          <w:sz w:val="24"/>
        </w:rPr>
        <w:t>3. 《关于印发《全民医疗保障“十五五”规划》的通知》（发布机关：国家医疗保障局，发布日期：2026-08-19）</w:t>
      </w:r>
    </w:p>
    <w:p>
      <w:pPr>
        <w:spacing w:line="360" w:lineRule="auto" w:before="0" w:after="60"/>
        <w:ind w:firstLine="480"/>
        <w:jc w:val="both"/>
      </w:pPr>
      <w:r>
        <w:rPr>
          <w:rFonts w:ascii="Times New Roman" w:hAnsi="Times New Roman" w:eastAsia="方正仿宋简体" w:cs="Times New Roman"/>
          <w:b w:val="0"/>
          <w:i w:val="0"/>
          <w:color w:val="000000"/>
          <w:sz w:val="24"/>
        </w:rPr>
        <w:t>文件主要内容与核心要点：国家医保局“十五五”规划部署未来五年医保改革：完善多层次保障体系、深化集采扩面提质、健全DRG/DIP支付方式、强化基金监管、推进异地结算与医保数字化。对医药企业而言，集采常态化与支付方式改革将持续重塑准入和定价逻辑；企业应重点关注创新药“首发价格+支付标准”衔接、商业健康保险目录等多元支付创新带来的市场放量机遇，提前布局医保准入策略。</w:t>
      </w:r>
      <w:r>
        <w:rPr>
          <w:rFonts w:ascii="Times New Roman" w:hAnsi="Times New Roman" w:eastAsia="方正仿宋简体" w:cs="Times New Roman"/>
          <w:b w:val="0"/>
          <w:i w:val="0"/>
          <w:color w:val="000000"/>
          <w:sz w:val="24"/>
        </w:rPr>
        <w:t>（官方原文直达：</w:t>
      </w:r>
      <w:r>
        <w:rPr>
          <w:rFonts w:ascii="Times New Roman" w:hAnsi="Times New Roman" w:eastAsia="方正仿宋简体" w:cs="Times New Roman"/>
          <w:b w:val="0"/>
          <w:i w:val="0"/>
          <w:color w:val="004886"/>
          <w:sz w:val="24"/>
          <w:u w:val="single"/>
        </w:rPr>
        <w:t>https://www.nhsa.gov.cn/art/2026/8/19/art_104_21827.html</w:t>
      </w:r>
      <w:r>
        <w:rPr>
          <w:rFonts w:ascii="Times New Roman" w:hAnsi="Times New Roman" w:eastAsia="方正仿宋简体" w:cs="Times New Roman"/>
          <w:b w:val="0"/>
          <w:i w:val="0"/>
          <w:color w:val="000000"/>
          <w:sz w:val="24"/>
        </w:rPr>
        <w:t>）</w:t>
      </w:r>
    </w:p>
    <w:p>
      <w:pPr>
        <w:spacing w:line="360" w:lineRule="auto" w:before="80" w:after="0"/>
        <w:ind w:firstLine="480"/>
        <w:jc w:val="both"/>
      </w:pPr>
      <w:r>
        <w:rPr>
          <w:rFonts w:ascii="Times New Roman" w:hAnsi="Times New Roman" w:eastAsia="方正仿宋简体" w:cs="Times New Roman"/>
          <w:b/>
          <w:i w:val="0"/>
          <w:color w:val="000000"/>
          <w:sz w:val="24"/>
        </w:rPr>
        <w:t>4. 《关于公开征求《植入式脑机接口运动功能代偿类医疗器械技术审评要点（征求意见稿）》意见的通知》（发布机关：国家药品监督管理局医疗器械技术审评中心（CMDE），发布日期：2026-08-18）</w:t>
      </w:r>
    </w:p>
    <w:p>
      <w:pPr>
        <w:spacing w:line="360" w:lineRule="auto" w:before="0" w:after="60"/>
        <w:ind w:firstLine="480"/>
        <w:jc w:val="both"/>
      </w:pPr>
      <w:r>
        <w:rPr>
          <w:rFonts w:ascii="Times New Roman" w:hAnsi="Times New Roman" w:eastAsia="方正仿宋简体" w:cs="Times New Roman"/>
          <w:b w:val="0"/>
          <w:i w:val="0"/>
          <w:color w:val="000000"/>
          <w:sz w:val="24"/>
        </w:rPr>
        <w:t>文件主要内容与核心要点：器审中心首次针对侵入式脑机接口“运动功能代偿”类器械发布技术审评要点征求意见，明确产品适用范围、电极植入与信号采集、安全有效性评价、临床试验等核心要求。这是国家层面为侵入式BCI器械注册审评立标的关键一步。利好布局运动代偿型脑机接口产品的企业与临床机构：为注册申报提供可预期的审评路径与技术判定标准，建议在截止前反馈意见并对照要点完善研发与验证方案。</w:t>
      </w:r>
      <w:r>
        <w:rPr>
          <w:rFonts w:ascii="Times New Roman" w:hAnsi="Times New Roman" w:eastAsia="方正仿宋简体" w:cs="Times New Roman"/>
          <w:b w:val="0"/>
          <w:i w:val="0"/>
          <w:color w:val="000000"/>
          <w:sz w:val="24"/>
        </w:rPr>
        <w:t>（官方原文直达：</w:t>
      </w:r>
      <w:r>
        <w:rPr>
          <w:rFonts w:ascii="Times New Roman" w:hAnsi="Times New Roman" w:eastAsia="方正仿宋简体" w:cs="Times New Roman"/>
          <w:b w:val="0"/>
          <w:i w:val="0"/>
          <w:color w:val="004886"/>
          <w:sz w:val="24"/>
          <w:u w:val="single"/>
        </w:rPr>
        <w:t>https://www.cmde.org.cn/xwdt/zxyw/20260818134255140.html</w:t>
      </w:r>
      <w:r>
        <w:rPr>
          <w:rFonts w:ascii="Times New Roman" w:hAnsi="Times New Roman" w:eastAsia="方正仿宋简体" w:cs="Times New Roman"/>
          <w:b w:val="0"/>
          <w:i w:val="0"/>
          <w:color w:val="000000"/>
          <w:sz w:val="24"/>
        </w:rPr>
        <w:t>）</w:t>
      </w:r>
    </w:p>
    <w:p>
      <w:pPr>
        <w:spacing w:line="360" w:lineRule="auto" w:before="80" w:after="0"/>
        <w:ind w:firstLine="480"/>
        <w:jc w:val="both"/>
      </w:pPr>
      <w:r>
        <w:rPr>
          <w:rFonts w:ascii="Times New Roman" w:hAnsi="Times New Roman" w:eastAsia="方正仿宋简体" w:cs="Times New Roman"/>
          <w:b/>
          <w:i w:val="0"/>
          <w:color w:val="000000"/>
          <w:sz w:val="24"/>
        </w:rPr>
        <w:t>5. 《关于公开征求ICH《M15：模型引导的药物研发》指导原则实施建议和中文翻译稿意见的通知》（发布机关：国家药品监督管理局药品审评中心（CDE），发布日期：2026-07-31）</w:t>
      </w:r>
    </w:p>
    <w:p>
      <w:pPr>
        <w:spacing w:line="360" w:lineRule="auto" w:before="0" w:after="60"/>
        <w:ind w:firstLine="480"/>
        <w:jc w:val="both"/>
      </w:pPr>
      <w:r>
        <w:rPr>
          <w:rFonts w:ascii="Times New Roman" w:hAnsi="Times New Roman" w:eastAsia="方正仿宋简体" w:cs="Times New Roman"/>
          <w:b w:val="0"/>
          <w:i w:val="0"/>
          <w:color w:val="000000"/>
          <w:sz w:val="24"/>
        </w:rPr>
        <w:t>文件主要内容与核心要点：ICH M15是全球首个“模型引导的药物研发（MIDD）”协调指导原则，聚焦定量药理学与计算建模在药物研发决策中的应用。CDE就其在国内落地的实施建议与中文翻译稿公开征求意见，标志MIDD将正式进入我国监管审评体系。利好开展定量药理学建模、虚拟试验与AI辅助药物研发的企业：为其在IND/NDA申报中以建模证据支持研发决策提供监管认可路径。注：该文件发布于窗口前（7-31），因征求意见期覆盖当前且为AI制药赛道最贴近的实质监管文件而收录。</w:t>
      </w:r>
      <w:r>
        <w:rPr>
          <w:rFonts w:ascii="Times New Roman" w:hAnsi="Times New Roman" w:eastAsia="方正仿宋简体" w:cs="Times New Roman"/>
          <w:b w:val="0"/>
          <w:i w:val="0"/>
          <w:color w:val="000000"/>
          <w:sz w:val="24"/>
        </w:rPr>
        <w:t>（官方原文直达：</w:t>
      </w:r>
      <w:r>
        <w:rPr>
          <w:rFonts w:ascii="Times New Roman" w:hAnsi="Times New Roman" w:eastAsia="方正仿宋简体" w:cs="Times New Roman"/>
          <w:b w:val="0"/>
          <w:i w:val="0"/>
          <w:color w:val="004886"/>
          <w:sz w:val="24"/>
          <w:u w:val="single"/>
        </w:rPr>
        <w:t>https://www.cde.org.cn/main/news/viewInfoCommon/0e195b0414c7fd0c3ae88635ee186145</w:t>
      </w:r>
      <w:r>
        <w:rPr>
          <w:rFonts w:ascii="Times New Roman" w:hAnsi="Times New Roman" w:eastAsia="方正仿宋简体" w:cs="Times New Roman"/>
          <w:b w:val="0"/>
          <w:i w:val="0"/>
          <w:color w:val="000000"/>
          <w:sz w:val="24"/>
        </w:rPr>
        <w:t>）</w:t>
      </w:r>
    </w:p>
    <w:p>
      <w:pPr>
        <w:spacing w:line="360" w:lineRule="auto" w:before="80" w:after="0"/>
        <w:ind w:firstLine="480"/>
        <w:jc w:val="both"/>
      </w:pPr>
      <w:r>
        <w:rPr>
          <w:rFonts w:ascii="Times New Roman" w:hAnsi="Times New Roman" w:eastAsia="方正仿宋简体" w:cs="Times New Roman"/>
          <w:b/>
          <w:i w:val="0"/>
          <w:color w:val="000000"/>
          <w:sz w:val="24"/>
        </w:rPr>
        <w:t>6. 《关于印发《优化全生命周期监管服务促进医疗器械高质量发展若干举措》的通知》（发布机关：四川省药品监督管理局，发布日期：2026-07-31）</w:t>
      </w:r>
    </w:p>
    <w:p>
      <w:pPr>
        <w:spacing w:line="360" w:lineRule="auto" w:before="0" w:after="60"/>
        <w:ind w:firstLine="480"/>
        <w:jc w:val="both"/>
      </w:pPr>
      <w:r>
        <w:rPr>
          <w:rFonts w:ascii="Times New Roman" w:hAnsi="Times New Roman" w:eastAsia="方正仿宋简体" w:cs="Times New Roman"/>
          <w:b w:val="0"/>
          <w:i w:val="0"/>
          <w:color w:val="000000"/>
          <w:sz w:val="24"/>
        </w:rPr>
        <w:t>文件主要内容与核心要点：四川省药监局明确将脑机接口、核医疗设备、人工智能、高端口腔装备及材料、医用机器人、高端医学影像设备等作为重点培育方向，通过优化全生命周期监管服务，推出审评审批提速、创新通道、检验检测支撑、注册人制度落地等系列举措。利好川内及拟入川布局前沿器械的企业：注册申报可获更明确的服务与加速通道，培育政策支撑产业化落地。注：该文件公布于8月3日，略早于10天窗口，因属四川近期重磅且强关联赛道而收录，日期如实标注。</w:t>
      </w:r>
      <w:r>
        <w:rPr>
          <w:rFonts w:ascii="Times New Roman" w:hAnsi="Times New Roman" w:eastAsia="方正仿宋简体" w:cs="Times New Roman"/>
          <w:b w:val="0"/>
          <w:i w:val="0"/>
          <w:color w:val="000000"/>
          <w:sz w:val="24"/>
        </w:rPr>
        <w:t>（官方原文直达：</w:t>
      </w:r>
      <w:r>
        <w:rPr>
          <w:rFonts w:ascii="Times New Roman" w:hAnsi="Times New Roman" w:eastAsia="方正仿宋简体" w:cs="Times New Roman"/>
          <w:b w:val="0"/>
          <w:i w:val="0"/>
          <w:color w:val="004886"/>
          <w:sz w:val="24"/>
          <w:u w:val="single"/>
        </w:rPr>
        <w:t>https://yjj.sc.gov.cn/scyjj/c103192/2026/8/3/61878afd55ac4b49b7c11b4e75ecfe63.shtml</w:t>
      </w:r>
      <w:r>
        <w:rPr>
          <w:rFonts w:ascii="Times New Roman" w:hAnsi="Times New Roman" w:eastAsia="方正仿宋简体" w:cs="Times New Roman"/>
          <w:b w:val="0"/>
          <w:i w:val="0"/>
          <w:color w:val="000000"/>
          <w:sz w:val="24"/>
        </w:rPr>
        <w:t>）</w:t>
      </w:r>
    </w:p>
    <w:p>
      <w:pPr>
        <w:spacing w:line="360" w:lineRule="auto" w:before="80" w:after="0"/>
        <w:ind w:firstLine="480"/>
        <w:jc w:val="both"/>
      </w:pPr>
      <w:r>
        <w:rPr>
          <w:rFonts w:ascii="Times New Roman" w:hAnsi="Times New Roman" w:eastAsia="方正仿宋简体" w:cs="Times New Roman"/>
          <w:b/>
          <w:i w:val="0"/>
          <w:color w:val="000000"/>
          <w:sz w:val="24"/>
        </w:rPr>
        <w:t>7. 《关于印发《上海市加快推进新型工业化构建现代化产业体系“十五五”规划》的通知》（发布机关：上海市人民政府，发布日期：2026-07-27）</w:t>
      </w:r>
    </w:p>
    <w:p>
      <w:pPr>
        <w:spacing w:line="360" w:lineRule="auto" w:before="0" w:after="60"/>
        <w:ind w:firstLine="480"/>
        <w:jc w:val="both"/>
      </w:pPr>
      <w:r>
        <w:rPr>
          <w:rFonts w:ascii="Times New Roman" w:hAnsi="Times New Roman" w:eastAsia="方正仿宋简体" w:cs="Times New Roman"/>
          <w:b w:val="0"/>
          <w:i w:val="0"/>
          <w:color w:val="000000"/>
          <w:sz w:val="24"/>
        </w:rPr>
        <w:t>文件主要内容与核心要点：上海“十五五”新型工业化规划将生物医药列为三大先导产业之一，明确加快发展高端医疗器械，重点发展医疗装备、植入介入、脑机接口等高附加值产品并加快上市应用；人工智能锚定大模型、具身智能，加速机器人走进工厂、医院和家庭。利好沪上及长三角的生物医药、医疗装备、脑机接口与医疗机器人企业，可依规划争取研发转化、临床试验提效及“医保商保衔接”等多元支付配套支持。</w:t>
      </w:r>
      <w:r>
        <w:rPr>
          <w:rFonts w:ascii="Times New Roman" w:hAnsi="Times New Roman" w:eastAsia="方正仿宋简体" w:cs="Times New Roman"/>
          <w:b w:val="0"/>
          <w:i w:val="0"/>
          <w:color w:val="000000"/>
          <w:sz w:val="24"/>
        </w:rPr>
        <w:t>（官方原文直达：</w:t>
      </w:r>
      <w:r>
        <w:rPr>
          <w:rFonts w:ascii="Times New Roman" w:hAnsi="Times New Roman" w:eastAsia="方正仿宋简体" w:cs="Times New Roman"/>
          <w:b w:val="0"/>
          <w:i w:val="0"/>
          <w:color w:val="004886"/>
          <w:sz w:val="24"/>
          <w:u w:val="single"/>
        </w:rPr>
        <w:t>https://www.shanghai.gov.cn/nw12344/20260824/0c052ef0042c4a09bcae2adfe2babe62.html</w:t>
      </w:r>
      <w:r>
        <w:rPr>
          <w:rFonts w:ascii="Times New Roman" w:hAnsi="Times New Roman" w:eastAsia="方正仿宋简体" w:cs="Times New Roman"/>
          <w:b w:val="0"/>
          <w:i w:val="0"/>
          <w:color w:val="000000"/>
          <w:sz w:val="24"/>
        </w:rPr>
        <w:t>）</w:t>
      </w:r>
    </w:p>
    <w:p>
      <w:pPr>
        <w:spacing w:line="360" w:lineRule="auto" w:before="80" w:after="0"/>
        <w:ind w:firstLine="480"/>
        <w:jc w:val="both"/>
      </w:pPr>
      <w:r>
        <w:rPr>
          <w:rFonts w:ascii="Times New Roman" w:hAnsi="Times New Roman" w:eastAsia="方正仿宋简体" w:cs="Times New Roman"/>
          <w:b/>
          <w:i w:val="0"/>
          <w:color w:val="000000"/>
          <w:sz w:val="24"/>
        </w:rPr>
        <w:t>8. 《人力资源社会保障部等4部门关于支持海洋经济发展促进就业创业的通知》（发布机关：人力资源社会保障部 自然资源部 国家发展改革委 交通运输部，发布日期：2026-06-16）</w:t>
      </w:r>
    </w:p>
    <w:p>
      <w:pPr>
        <w:spacing w:line="360" w:lineRule="auto" w:before="0" w:after="60"/>
        <w:ind w:firstLine="480"/>
        <w:jc w:val="both"/>
      </w:pPr>
      <w:r>
        <w:rPr>
          <w:rFonts w:ascii="Times New Roman" w:hAnsi="Times New Roman" w:eastAsia="方正仿宋简体" w:cs="Times New Roman"/>
          <w:b w:val="0"/>
          <w:i w:val="0"/>
          <w:color w:val="000000"/>
          <w:sz w:val="24"/>
        </w:rPr>
        <w:t>文件主要内容与核心要点：生物制品产业，支持涉海类高等学校、科研院所与企业深度合作，为海洋科研人员、医疗器械研发工程师等搭建研发推广平台，促进大健康产业高质量发展，吸纳更多高校毕业生等青年就业创业。着力提升海洋产业智能化、绿色化水平</w:t>
      </w:r>
      <w:r>
        <w:rPr>
          <w:rFonts w:ascii="Times New Roman" w:hAnsi="Times New Roman" w:eastAsia="方正仿宋简体" w:cs="Times New Roman"/>
          <w:b w:val="0"/>
          <w:i w:val="0"/>
          <w:color w:val="000000"/>
          <w:sz w:val="24"/>
        </w:rPr>
        <w:t>（官方原文直达：</w:t>
      </w:r>
      <w:r>
        <w:rPr>
          <w:rFonts w:ascii="Times New Roman" w:hAnsi="Times New Roman" w:eastAsia="方正仿宋简体" w:cs="Times New Roman"/>
          <w:b w:val="0"/>
          <w:i w:val="0"/>
          <w:color w:val="004886"/>
          <w:sz w:val="24"/>
          <w:u w:val="single"/>
        </w:rPr>
        <w:t>https://www.gov.cn/zhengce/zhengceku/202606/content_7072347.htm</w:t>
      </w:r>
      <w:r>
        <w:rPr>
          <w:rFonts w:ascii="Times New Roman" w:hAnsi="Times New Roman" w:eastAsia="方正仿宋简体" w:cs="Times New Roman"/>
          <w:b w:val="0"/>
          <w:i w:val="0"/>
          <w:color w:val="000000"/>
          <w:sz w:val="24"/>
        </w:rPr>
        <w:t>）</w:t>
      </w:r>
    </w:p>
    <w:sectPr w:rsidR="00FC693F" w:rsidRPr="0006063C" w:rsidSect="00034616">
      <w:footerReference w:type="default" r:id="rId9"/>
      <w:footerReference w:type="even" r:id="rId10"/>
      <w:pgSz w:w="11906" w:h="16838"/>
      <w:pgMar w:top="2098" w:right="1474" w:bottom="1984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240" w:lineRule="auto" w:before="0" w:after="0"/>
      <w:ind w:firstLine="0"/>
      <w:jc w:val="right"/>
    </w:pPr>
    <w:r/>
    <w:r>
      <w:rPr>
        <w:rFonts w:ascii="Times New Roman" w:hAnsi="Times New Roman" w:eastAsia="Times New Roman" w:cs="Times New Roman"/>
        <w:b w:val="0"/>
        <w:i w:val="0"/>
        <w:color w:val="000000"/>
        <w:sz w:val="28"/>
      </w:rPr>
      <w:t xml:space="preserve">— </w:t>
    </w:r>
    <w:r>
      <w:fldChar w:fldCharType="begin"/>
    </w:r>
    <w:r>
      <w:instrText xml:space="preserve"> PAGE </w:instrText>
    </w:r>
    <w:r>
      <w:fldChar w:fldCharType="separate"/>
    </w:r>
    <w:r>
      <w:rPr>
        <w:rFonts w:ascii="Times New Roman" w:hAnsi="Times New Roman" w:eastAsia="Times New Roman" w:cs="Times New Roman"/>
        <w:b w:val="0"/>
        <w:i w:val="0"/>
        <w:color w:val="000000"/>
        <w:sz w:val="28"/>
      </w:rPr>
      <w:t>1</w:t>
    </w:r>
    <w:r>
      <w:fldChar w:fldCharType="end"/>
    </w:r>
    <w:r>
      <w:rPr>
        <w:rFonts w:ascii="Times New Roman" w:hAnsi="Times New Roman" w:eastAsia="Times New Roman" w:cs="Times New Roman"/>
        <w:b w:val="0"/>
        <w:i w:val="0"/>
        <w:color w:val="000000"/>
        <w:sz w:val="28"/>
      </w:rPr>
      <w:t xml:space="preserve"> —</w:t>
    </w:r>
    <w:r>
      <w:rPr>
        <w:rFonts w:ascii="Times New Roman" w:hAnsi="Times New Roman" w:eastAsia="Times New Roman" w:cs="Times New Roman"/>
        <w:b w:val="0"/>
        <w:i w:val="0"/>
        <w:color w:val="000000"/>
        <w:sz w:val="28"/>
      </w:rPr>
      <w:t xml:space="preserve">　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240" w:lineRule="auto" w:before="0" w:after="0"/>
      <w:ind w:firstLine="0"/>
      <w:jc w:val="left"/>
    </w:pPr>
    <w:r/>
    <w:r>
      <w:rPr>
        <w:rFonts w:ascii="Times New Roman" w:hAnsi="Times New Roman" w:eastAsia="Times New Roman" w:cs="Times New Roman"/>
        <w:b w:val="0"/>
        <w:i w:val="0"/>
        <w:color w:val="000000"/>
        <w:sz w:val="28"/>
      </w:rPr>
      <w:t xml:space="preserve">　</w:t>
    </w:r>
    <w:r>
      <w:rPr>
        <w:rFonts w:ascii="Times New Roman" w:hAnsi="Times New Roman" w:eastAsia="Times New Roman" w:cs="Times New Roman"/>
        <w:b w:val="0"/>
        <w:i w:val="0"/>
        <w:color w:val="000000"/>
        <w:sz w:val="28"/>
      </w:rPr>
      <w:t xml:space="preserve">— </w:t>
    </w:r>
    <w:r>
      <w:fldChar w:fldCharType="begin"/>
    </w:r>
    <w:r>
      <w:instrText xml:space="preserve"> PAGE </w:instrText>
    </w:r>
    <w:r>
      <w:fldChar w:fldCharType="separate"/>
    </w:r>
    <w:r>
      <w:rPr>
        <w:rFonts w:ascii="Times New Roman" w:hAnsi="Times New Roman" w:eastAsia="Times New Roman" w:cs="Times New Roman"/>
        <w:b w:val="0"/>
        <w:i w:val="0"/>
        <w:color w:val="000000"/>
        <w:sz w:val="28"/>
      </w:rPr>
      <w:t>2</w:t>
    </w:r>
    <w:r>
      <w:fldChar w:fldCharType="end"/>
    </w:r>
    <w:r>
      <w:rPr>
        <w:rFonts w:ascii="Times New Roman" w:hAnsi="Times New Roman" w:eastAsia="Times New Roman" w:cs="Times New Roman"/>
        <w:b w:val="0"/>
        <w:i w:val="0"/>
        <w:color w:val="000000"/>
        <w:sz w:val="28"/>
      </w:rPr>
      <w:t xml:space="preserve"> —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evenAndOddHeaders w:val="1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