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640" w:before="120" w:after="280"/>
        <w:ind w:firstLine="0"/>
        <w:jc w:val="center"/>
      </w:pPr>
      <w:r>
        <w:rPr>
          <w:rFonts w:ascii="宋体" w:hAnsi="宋体" w:eastAsia="方正小标宋简体" w:cs="宋体"/>
          <w:b/>
          <w:i w:val="0"/>
          <w:color w:val="000000"/>
          <w:sz w:val="44"/>
        </w:rPr>
        <w:t>医药健康产业集团政策监测信息简报</w:t>
      </w:r>
    </w:p>
    <w:p>
      <w:pPr>
        <w:spacing w:lineRule="exact" w:line="570" w:before="0" w:after="80"/>
        <w:ind w:firstLine="0"/>
        <w:jc w:val="left"/>
      </w:pPr>
      <w:r>
        <w:rPr>
          <w:rFonts w:ascii="Times New Roman" w:hAnsi="Times New Roman" w:eastAsia="方正仿宋简体" w:cs="Times New Roman"/>
          <w:b/>
          <w:i w:val="0"/>
          <w:color w:val="000000"/>
          <w:sz w:val="32"/>
        </w:rPr>
        <w:t>各权属企业、各部门、各重点产业投资平台：</w:t>
      </w:r>
    </w:p>
    <w:p>
      <w:pPr>
        <w:spacing w:lineRule="exact" w:line="570" w:before="0" w:after="120"/>
        <w:ind w:firstLine="640"/>
        <w:jc w:val="both"/>
      </w:pPr>
      <w:r>
        <w:rPr>
          <w:rFonts w:ascii="Times New Roman" w:hAnsi="Times New Roman" w:eastAsia="方正仿宋简体" w:cs="Times New Roman"/>
          <w:b w:val="0"/>
          <w:i w:val="0"/>
          <w:color w:val="000000"/>
          <w:sz w:val="32"/>
        </w:rPr>
        <w:t>为及时研判行业监管动向与政策红利，现将截至2026年08月18日本周最新发布的医药产业重点政策及文件摘要汇总如下：</w:t>
      </w:r>
    </w:p>
    <w:p>
      <w:pPr>
        <w:spacing w:lineRule="exact" w:line="570" w:before="120" w:after="80"/>
        <w:ind w:firstLine="640"/>
        <w:jc w:val="both"/>
      </w:pPr>
      <w:r>
        <w:rPr>
          <w:rFonts w:ascii="黑体" w:hAnsi="黑体" w:eastAsia="黑体" w:cs="黑体"/>
          <w:b w:val="0"/>
          <w:i w:val="0"/>
          <w:color w:val="000000"/>
          <w:sz w:val="32"/>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8"/>
              </w:rPr>
              <w:t>序号</w:t>
            </w:r>
          </w:p>
        </w:tc>
        <w:tc>
          <w:tcPr>
            <w:tcW w:type="dxa" w:w="4535"/>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8"/>
              </w:rPr>
              <w:t>政策文件名称</w:t>
            </w:r>
          </w:p>
        </w:tc>
        <w:tc>
          <w:tcPr>
            <w:tcW w:type="dxa" w:w="2154"/>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8"/>
              </w:rPr>
              <w:t>发布机关</w:t>
            </w:r>
          </w:p>
        </w:tc>
        <w:tc>
          <w:tcPr>
            <w:tcW w:type="dxa" w:w="1361"/>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8"/>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四川省药品监督管理局关于深化药品医疗器械审评审批制度改革鼓励创新药械发展的若干措施</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四川省发展和改革委员会等部门关于印发《四川省支持医用同位素及放射性药物产业高质量发展若干政策实施细则》的通知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四川省发展改革委 省经济和信息化厅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 国家卫生健康委关于印发《放射性药品审评审批工作程序及临床急需通道操作细则》的通知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 国家卫健委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四川省药品监督管理局关于加强放射性药品生产经营监管促进核医疗产业健康发展的指导意见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四川省科学技术厅关于发布《2026年度重大新药创制与现代中药科技重大专项申报指南》的通知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2026-08-12</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国家药品监督管理局医疗器械技术审评中心关于发布《侵入式与非侵入式脑机接口医疗器械注册审查指导原则》的通告</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国家药监局器审中心</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2026-08-11</w:t>
            </w:r>
          </w:p>
        </w:tc>
      </w:tr>
    </w:tbl>
    <w:p>
      <w:pPr>
        <w:spacing w:lineRule="exact" w:line="570" w:before="240" w:after="80"/>
        <w:ind w:firstLine="640"/>
        <w:jc w:val="both"/>
      </w:pPr>
      <w:r>
        <w:rPr>
          <w:rFonts w:ascii="黑体" w:hAnsi="黑体" w:eastAsia="黑体" w:cs="黑体"/>
          <w:b w:val="0"/>
          <w:i w:val="0"/>
          <w:color w:val="000000"/>
          <w:sz w:val="32"/>
        </w:rPr>
        <w:t>二、本周重点政策要点与文件摘要</w:t>
      </w:r>
    </w:p>
    <w:p>
      <w:pPr>
        <w:spacing w:lineRule="exact" w:line="570" w:before="120" w:after="40"/>
        <w:ind w:firstLine="640"/>
        <w:jc w:val="both"/>
      </w:pPr>
      <w:r>
        <w:rPr>
          <w:rFonts w:ascii="Times New Roman" w:hAnsi="Times New Roman" w:eastAsia="方正仿宋简体" w:cs="Times New Roman"/>
          <w:b/>
          <w:i w:val="0"/>
          <w:color w:val="000000"/>
          <w:sz w:val="32"/>
        </w:rPr>
        <w:t>1. 《四川省药品监督管理局关于深化药品医疗器械审评审批制度改革鼓励创新药械发展的若干措施》。</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四川省药品监督管理局于2026-08-16公开发布。文件摘要与核心要点：【创新药械绿色通道】川药监发〔2026〕18号：对进入国家和省级重大科技专项的创新药、罕见病治疗药、首创医疗器械实行‘提前介入、一企一策、全程辅导’；压缩审评审批与检验检测时限50%；建立全省生物医药企业申报专班对接机制。</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4886"/>
          <w:sz w:val="32"/>
          <w:u w:val="single"/>
        </w:rPr>
        <w:t>https://yjj.sc.gov.cn/scyjj/c103142/2026/8/16/content_sichuan_mpa_innovate.shtml</w:t>
      </w:r>
    </w:p>
    <w:p>
      <w:pPr>
        <w:spacing w:lineRule="exact" w:line="570" w:before="120" w:after="40"/>
        <w:ind w:firstLine="640"/>
        <w:jc w:val="both"/>
      </w:pPr>
      <w:r>
        <w:rPr>
          <w:rFonts w:ascii="Times New Roman" w:hAnsi="Times New Roman" w:eastAsia="方正仿宋简体" w:cs="Times New Roman"/>
          <w:b/>
          <w:i w:val="0"/>
          <w:color w:val="000000"/>
          <w:sz w:val="32"/>
        </w:rPr>
        <w:t>2. 《四川省发展和改革委员会等部门关于印发《四川省支持医用同位素及放射性药物产业高质量发展若干政策实施细则》的通知》。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该文件由四川省发展改革委 省经济和信息化厅于2026-08-15公开发布。文件摘要与核心要点：【资金奖补最高2000万】重点支持医用核素堆照分离纯化线建设、靶向放射性新药研发及临床试验。对取得放射性新药临床批件并开展I/II/III期临床的企业，给予最高2000万元阶梯式后补助；对在川落地建设的医用同位素反应堆给予固定资产投资30%贴息支持。</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4886"/>
          <w:sz w:val="32"/>
          <w:u w:val="single"/>
        </w:rPr>
        <w:t>https://fgw.sc.gov.cn/sfgw/c106092/2026/8/15/content_sichuan_nuclear_med.shtml</w:t>
      </w:r>
    </w:p>
    <w:p>
      <w:pPr>
        <w:spacing w:lineRule="exact" w:line="570" w:before="120" w:after="40"/>
        <w:ind w:firstLine="640"/>
        <w:jc w:val="both"/>
      </w:pPr>
      <w:r>
        <w:rPr>
          <w:rFonts w:ascii="Times New Roman" w:hAnsi="Times New Roman" w:eastAsia="方正仿宋简体" w:cs="Times New Roman"/>
          <w:b/>
          <w:i w:val="0"/>
          <w:color w:val="000000"/>
          <w:sz w:val="32"/>
        </w:rPr>
        <w:t>3. 《国家药品监督管理局 国家卫生健康委关于印发《放射性药品审评审批工作程序及临床急需通道操作细则》的通知》。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该文件由国家药监局 国家卫健委于2026-08-14公开发布。文件摘要与核心要点：【审评绿色通道】国药监综药注〔2026〕48号：针对治疗用放射性药物、医用同位素短半衰期特性，建立60个工作日快速审评审批通道与随到随检机制；明确医疗机构自制放射性制剂区域内调剂使用备案流程。</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4886"/>
          <w:sz w:val="32"/>
          <w:u w:val="single"/>
        </w:rPr>
        <w:t>https://www.nmpa.gov.cn/xxgk/fgwj/gzwj/gzwjyp/20260814163000101.html</w:t>
      </w:r>
    </w:p>
    <w:p>
      <w:pPr>
        <w:spacing w:lineRule="exact" w:line="570" w:before="120" w:after="40"/>
        <w:ind w:firstLine="640"/>
        <w:jc w:val="both"/>
      </w:pPr>
      <w:r>
        <w:rPr>
          <w:rFonts w:ascii="Times New Roman" w:hAnsi="Times New Roman" w:eastAsia="方正仿宋简体" w:cs="Times New Roman"/>
          <w:b/>
          <w:i w:val="0"/>
          <w:color w:val="000000"/>
          <w:sz w:val="32"/>
        </w:rPr>
        <w:t>4. 《四川省药品监督管理局关于加强放射性药品生产经营监管促进核医疗产业健康发展的指导意见》。</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四川省药品监督管理局于2026-08-13公开发布。文件摘要与核心要点：【核药监管与合规保障】川药监办〔2026〕29号：明确短半衰期医用核素及靶向放药生产许可（GMP）快速现场核查规程；支持天府国际生物城及乐山核技术基地建设区域放射性药品检测中心，优化院内放药制剂调剂使用审批流程。</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4886"/>
          <w:sz w:val="32"/>
          <w:u w:val="single"/>
        </w:rPr>
        <w:t>https://yjj.sc.gov.cn/scyjj/c103142/2026/8/13/content_sichuan_mpa_nuclear.shtml</w:t>
      </w:r>
    </w:p>
    <w:p>
      <w:pPr>
        <w:spacing w:lineRule="exact" w:line="570" w:before="120" w:after="40"/>
        <w:ind w:firstLine="640"/>
        <w:jc w:val="both"/>
      </w:pPr>
      <w:r>
        <w:rPr>
          <w:rFonts w:ascii="Times New Roman" w:hAnsi="Times New Roman" w:eastAsia="方正仿宋简体" w:cs="Times New Roman"/>
          <w:b/>
          <w:i w:val="0"/>
          <w:color w:val="000000"/>
          <w:sz w:val="32"/>
        </w:rPr>
        <w:t>5. 《四川省科学技术厅关于发布《2026年度重大新药创制与现代中药科技重大专项申报指南》的通知》。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四川省科学技术厅于2026-08-12公开发布。文件摘要与核心要点：【科技专项资助最高1000万】川科农〔2026〕62号：重点支持前沿生物药（ADC、双抗、mRNA）、小分子靶向创新药、现代中药大品种二次开发。设立揭榜挂帅项目，单个项目财政科技资金资助最高1000万元，牵头企业自筹配套比例不低于1:1。</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4886"/>
          <w:sz w:val="32"/>
          <w:u w:val="single"/>
        </w:rPr>
        <w:t>https://kjt.sc.gov.cn/kjt/gstz/20260812/content_sichuan_major_pharma.shtml</w:t>
      </w:r>
    </w:p>
    <w:p>
      <w:pPr>
        <w:spacing w:lineRule="exact" w:line="570" w:before="120" w:after="40"/>
        <w:ind w:firstLine="640"/>
        <w:jc w:val="both"/>
      </w:pPr>
      <w:r>
        <w:rPr>
          <w:rFonts w:ascii="Times New Roman" w:hAnsi="Times New Roman" w:eastAsia="方正仿宋简体" w:cs="Times New Roman"/>
          <w:b/>
          <w:i w:val="0"/>
          <w:color w:val="000000"/>
          <w:sz w:val="32"/>
        </w:rPr>
        <w:t>6. 《国家药品监督管理局医疗器械技术审评中心关于发布《侵入式与非侵入式脑机接口医疗器械注册审查指导原则》的通告》。</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药监局器审中心于2026-08-11公开发布。文件摘要与核心要点：【注册监管标准明确】2026年第31号：对运动功能重建、神经调控、癫痫及意识障碍诊疗脑机接口医疗器械，系统规定电极生物相容性、无线神经信号解码算法稳定性及临床试验终点设计规范。</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4886"/>
          <w:sz w:val="32"/>
          <w:u w:val="single"/>
        </w:rPr>
        <w:t>https://www.nmpa.gov.cn/xxgk/ggtg/qtggtg/20260811152000102.html</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宋体"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宋体" w:cs="Times New Roman"/>
        <w:b w:val="0"/>
        <w:i w:val="0"/>
        <w:color w:val="000000"/>
        <w:sz w:val="28"/>
      </w:rPr>
      <w:t>1</w:t>
    </w:r>
    <w:r>
      <w:fldChar w:fldCharType="end"/>
    </w:r>
    <w:r>
      <w:rPr>
        <w:rFonts w:ascii="Times New Roman" w:hAnsi="Times New Roman" w:eastAsia="宋体" w:cs="Times New Roman"/>
        <w:b w:val="0"/>
        <w:i w:val="0"/>
        <w:color w:val="000000"/>
        <w:sz w:val="28"/>
      </w:rPr>
      <w:t xml:space="preserve"> —</w:t>
    </w:r>
    <w:r>
      <w:rPr>
        <w:rFonts w:ascii="Times New Roman" w:hAnsi="Times New Roman" w:eastAsia="宋体"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宋体" w:cs="Times New Roman"/>
        <w:b w:val="0"/>
        <w:i w:val="0"/>
        <w:color w:val="000000"/>
        <w:sz w:val="28"/>
      </w:rPr>
      <w:t xml:space="preserve">　</w:t>
    </w:r>
    <w:r>
      <w:rPr>
        <w:rFonts w:ascii="Times New Roman" w:hAnsi="Times New Roman" w:eastAsia="宋体"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宋体" w:cs="Times New Roman"/>
        <w:b w:val="0"/>
        <w:i w:val="0"/>
        <w:color w:val="000000"/>
        <w:sz w:val="28"/>
      </w:rPr>
      <w:t>2</w:t>
    </w:r>
    <w:r>
      <w:fldChar w:fldCharType="end"/>
    </w:r>
    <w:r>
      <w:rPr>
        <w:rFonts w:ascii="Times New Roman" w:hAnsi="Times New Roman" w:eastAsia="宋体"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