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before="120" w:after="240"/>
        <w:ind w:firstLine="0"/>
        <w:jc w:val="center"/>
      </w:pPr>
      <w:r>
        <w:rPr>
          <w:rFonts w:ascii="Times New Roman" w:hAnsi="Times New Roman" w:eastAsia="方正小标宋简体" w:cs="Times New Roman"/>
          <w:b/>
          <w:i w:val="0"/>
          <w:color w:val="000000"/>
          <w:sz w:val="44"/>
        </w:rPr>
        <w:t>四川生物医药产业集团创新事业部政策信息简报</w:t>
      </w:r>
    </w:p>
    <w:p>
      <w:pPr>
        <w:spacing w:line="360" w:lineRule="auto" w:before="0" w:after="80"/>
        <w:ind w:firstLine="480"/>
        <w:jc w:val="both"/>
      </w:pPr>
      <w:r>
        <w:rPr>
          <w:rFonts w:ascii="Times New Roman" w:hAnsi="Times New Roman" w:eastAsia="方正仿宋简体" w:cs="Times New Roman"/>
          <w:b w:val="0"/>
          <w:i w:val="0"/>
          <w:color w:val="000000"/>
          <w:sz w:val="24"/>
        </w:rPr>
        <w:t>为及时研判行业监管动向与政策红利，现将截至2026年08月19日本周最新发布的医药产业重点政策及文件摘要汇总如下：</w:t>
      </w:r>
    </w:p>
    <w:p>
      <w:pPr>
        <w:spacing w:line="360" w:lineRule="auto" w:before="120" w:after="60"/>
        <w:ind w:firstLine="480"/>
        <w:jc w:val="both"/>
      </w:pPr>
      <w:r>
        <w:rPr>
          <w:rFonts w:ascii="Times New Roman" w:hAnsi="Times New Roman" w:eastAsia="黑体" w:cs="Times New Roman"/>
          <w:b w:val="0"/>
          <w:i w:val="0"/>
          <w:color w:val="000000"/>
          <w:sz w:val="24"/>
        </w:rPr>
        <w:t>一、本周重点政策速览清单</w:t>
      </w:r>
    </w:p>
    <w:tbl>
      <w:tblPr>
        <w:tblW w:type="auto" w:w="0"/>
        <w:jc w:val="center"/>
        <w:tblLayout w:type="fixed"/>
        <w:tblLook w:firstColumn="1" w:firstRow="1" w:lastColumn="0" w:lastRow="0" w:noHBand="0" w:noVBand="1" w:val="04A0"/>
      </w:tblPr>
      <w:tblGrid>
        <w:gridCol w:w="2211"/>
        <w:gridCol w:w="2211"/>
        <w:gridCol w:w="2211"/>
        <w:gridCol w:w="2211"/>
      </w:tblGrid>
      <w:tr>
        <w:tc>
          <w:tcPr>
            <w:tcW w:type="dxa" w:w="794"/>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序号</w:t>
            </w:r>
          </w:p>
        </w:tc>
        <w:tc>
          <w:tcPr>
            <w:tcW w:type="dxa" w:w="4535"/>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政策文件名称</w:t>
            </w:r>
          </w:p>
        </w:tc>
        <w:tc>
          <w:tcPr>
            <w:tcW w:type="dxa" w:w="2154"/>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发布机关</w:t>
            </w:r>
          </w:p>
        </w:tc>
        <w:tc>
          <w:tcPr>
            <w:tcW w:type="dxa" w:w="1361"/>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发布日期</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1</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人力资源社会保障部等4部门关于支持海洋经济发展促进就业创业的通知</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人力资源社会保障部 自然资源部 国家发展改革委 交通运输部</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2026-06-16</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国家药监局关于发布互联网药品医疗器械信息服务备案管理规定的公告</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国家药监局</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2025-12-23</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3</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海关总署关于印发《海关支持和服务横琴粤澳深度合作区建设新一轮措施》的通知</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海关总署</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2025-12-23</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4</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关于加强基层医疗卫生机构特色科室建设的指导意见</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国家卫生健康委 国家发展改革委 财政部 国家医保局 国家中医药局 国家疾控局</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2025-12-17</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5</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关于印发老年护理服务能力提升行动方案的通知</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国家卫生健康委办公厅 国家医保局办公室 国家中医药局综合司 国家疾控局综合司</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2025-12-13</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6</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国家医保局 人力资源社会保障部关于印发《国家基本医疗保险、生育保险和工伤保险药品目录》以及《商业健康保险创新药品目录》（2025年）的通知</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国家医保局 人力资源社会保障部</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2025-12-07</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7</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国家中医药局 国家卫生健康委关于学习推广三明医改促进中医药传承创新发展经验做法的通知</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国家中医药局 国家卫生健康委</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2025-11-28</w:t>
            </w:r>
          </w:p>
        </w:tc>
      </w:tr>
      <w:tr>
        <w:tc>
          <w:tcPr>
            <w:tcW w:type="dxa" w:w="794"/>
            <w:tcBorders>
              <w:top w:val="none"/>
              <w:left w:val="none"/>
              <w:bottom w:val="single" w:sz="12" w:color="000000"/>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8</w:t>
            </w:r>
          </w:p>
        </w:tc>
        <w:tc>
          <w:tcPr>
            <w:tcW w:type="dxa" w:w="4535"/>
            <w:tcBorders>
              <w:top w:val="none"/>
              <w:left w:val="none"/>
              <w:bottom w:val="single" w:sz="12" w:color="000000"/>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国家药监局关于优化境外生产药品补充申请审评审批程序试点工作的通知</w:t>
            </w:r>
          </w:p>
        </w:tc>
        <w:tc>
          <w:tcPr>
            <w:tcW w:type="dxa" w:w="2154"/>
            <w:tcBorders>
              <w:top w:val="none"/>
              <w:left w:val="none"/>
              <w:bottom w:val="single" w:sz="12" w:color="000000"/>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国家药监局</w:t>
            </w:r>
          </w:p>
        </w:tc>
        <w:tc>
          <w:tcPr>
            <w:tcW w:type="dxa" w:w="1361"/>
            <w:tcBorders>
              <w:top w:val="none"/>
              <w:left w:val="none"/>
              <w:bottom w:val="single" w:sz="12" w:color="000000"/>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2025-11-11</w:t>
            </w:r>
          </w:p>
        </w:tc>
      </w:tr>
    </w:tbl>
    <w:p>
      <w:pPr>
        <w:spacing w:line="360" w:lineRule="auto" w:before="160" w:after="60"/>
        <w:ind w:firstLine="480"/>
        <w:jc w:val="both"/>
      </w:pPr>
      <w:r>
        <w:rPr>
          <w:rFonts w:ascii="Times New Roman" w:hAnsi="Times New Roman" w:eastAsia="黑体" w:cs="Times New Roman"/>
          <w:b w:val="0"/>
          <w:i w:val="0"/>
          <w:color w:val="000000"/>
          <w:sz w:val="24"/>
        </w:rPr>
        <w:t>二、本周重点政策要点与文件摘要</w:t>
      </w:r>
    </w:p>
    <w:p>
      <w:pPr>
        <w:spacing w:line="360" w:lineRule="auto" w:before="80" w:after="0"/>
        <w:ind w:firstLine="480"/>
        <w:jc w:val="both"/>
      </w:pPr>
      <w:r>
        <w:rPr>
          <w:rFonts w:ascii="Times New Roman" w:hAnsi="Times New Roman" w:eastAsia="方正仿宋简体" w:cs="Times New Roman"/>
          <w:b/>
          <w:i w:val="0"/>
          <w:color w:val="000000"/>
          <w:sz w:val="24"/>
        </w:rPr>
        <w:t>1. 《人力资源社会保障部等4部门关于支持海洋经济发展促进就业创业的通知》（发布机关：人力资源社会保障部 自然资源部 国家发展改革委 交通运输部，发布日期：2026-06-16）</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生物制品产业，支持涉海类高等学校、科研院所与企业深度合作，为海洋科研人员、医疗器械研发工程师等搭建研发推广平台，促进大健康产业高质量发展，吸纳更多高校毕业生等青年就业创业。着力提升海洋产业智能化、绿色化水平</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https://www.gov.cn/zhengce/zhengceku/202606/content_7072347.htm</w:t>
      </w:r>
      <w:r>
        <w:rPr>
          <w:rFonts w:ascii="Times New Roman" w:hAnsi="Times New Roman" w:eastAsia="方正仿宋简体" w:cs="Times New Roman"/>
          <w:b w:val="0"/>
          <w:i w:val="0"/>
          <w:color w:val="000000"/>
          <w:sz w:val="24"/>
        </w:rPr>
        <w:t>）</w:t>
      </w:r>
    </w:p>
    <w:p>
      <w:pPr>
        <w:spacing w:line="360" w:lineRule="auto" w:before="80" w:after="0"/>
        <w:ind w:firstLine="480"/>
        <w:jc w:val="both"/>
      </w:pPr>
      <w:r>
        <w:rPr>
          <w:rFonts w:ascii="Times New Roman" w:hAnsi="Times New Roman" w:eastAsia="方正仿宋简体" w:cs="Times New Roman"/>
          <w:b/>
          <w:i w:val="0"/>
          <w:color w:val="000000"/>
          <w:sz w:val="24"/>
        </w:rPr>
        <w:t>2. 《国家药监局关于发布互联网药品医疗器械信息服务备案管理规定的公告》（发布机关：国家药监局，发布日期：2025-12-23）</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文件主要内容与核心要点：国家药监局关于发布互联网药品医疗器械信息服务备案管理规定的公告 2025年第123号 为了规范互联网药品医疗器械信息服务备案，加强互联网药品医疗器械信息服务管理，依据《互联网信息服务管理办法》，</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https://www.gov.cn/zhengce/zhengceku/202512/content_7052491.htm</w:t>
      </w:r>
      <w:r>
        <w:rPr>
          <w:rFonts w:ascii="Times New Roman" w:hAnsi="Times New Roman" w:eastAsia="方正仿宋简体" w:cs="Times New Roman"/>
          <w:b w:val="0"/>
          <w:i w:val="0"/>
          <w:color w:val="000000"/>
          <w:sz w:val="24"/>
        </w:rPr>
        <w:t>）</w:t>
      </w:r>
    </w:p>
    <w:p>
      <w:pPr>
        <w:spacing w:line="360" w:lineRule="auto" w:before="80" w:after="0"/>
        <w:ind w:firstLine="480"/>
        <w:jc w:val="both"/>
      </w:pPr>
      <w:r>
        <w:rPr>
          <w:rFonts w:ascii="Times New Roman" w:hAnsi="Times New Roman" w:eastAsia="方正仿宋简体" w:cs="Times New Roman"/>
          <w:b/>
          <w:i w:val="0"/>
          <w:color w:val="000000"/>
          <w:sz w:val="24"/>
        </w:rPr>
        <w:t>3. 《海关总署关于印发《海关支持和服务横琴粤澳深度合作区建设新一轮措施》的通知》（发布机关：海关总署，发布日期：2025-12-23）</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实现患者和1名陪同人员随车便捷通关转运。对澳门新街坊卫生站在横琴合作区采集的澳门居民用于临床诊疗的血液、尿液、粪便等生物样本送返澳门事宜，支持建立以地方政府为主导的联合监管机制，在风险可控的前提下</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https://www.gov.cn/zhengce/zhengceku/202512/content_7052467.htm</w:t>
      </w:r>
      <w:r>
        <w:rPr>
          <w:rFonts w:ascii="Times New Roman" w:hAnsi="Times New Roman" w:eastAsia="方正仿宋简体" w:cs="Times New Roman"/>
          <w:b w:val="0"/>
          <w:i w:val="0"/>
          <w:color w:val="000000"/>
          <w:sz w:val="24"/>
        </w:rPr>
        <w:t>）</w:t>
      </w:r>
    </w:p>
    <w:p>
      <w:pPr>
        <w:spacing w:line="360" w:lineRule="auto" w:before="80" w:after="0"/>
        <w:ind w:firstLine="480"/>
        <w:jc w:val="both"/>
      </w:pPr>
      <w:r>
        <w:rPr>
          <w:rFonts w:ascii="Times New Roman" w:hAnsi="Times New Roman" w:eastAsia="方正仿宋简体" w:cs="Times New Roman"/>
          <w:b/>
          <w:i w:val="0"/>
          <w:color w:val="000000"/>
          <w:sz w:val="24"/>
        </w:rPr>
        <w:t>4. 《关于加强基层医疗卫生机构特色科室建设的指导意见》（发布机关：国家卫生健康委 国家发展改革委 财政部 国家医保局 国家中医药局 国家疾控局，发布日期：2025-12-17）</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文件主要内容与核心要点：关于加强基层医疗卫生机构特色科室建设的指导意见 国卫基层发〔2025〕18号 各省、自治区、直辖市及新疆生产建设兵团卫生健康委、发展改革委、财政厅（局）、医保局、中医药局、疾控局： 为深入贯彻</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https://www.gov.cn/zhengce/zhengceku/202512/content_7052011.htm</w:t>
      </w:r>
      <w:r>
        <w:rPr>
          <w:rFonts w:ascii="Times New Roman" w:hAnsi="Times New Roman" w:eastAsia="方正仿宋简体" w:cs="Times New Roman"/>
          <w:b w:val="0"/>
          <w:i w:val="0"/>
          <w:color w:val="000000"/>
          <w:sz w:val="24"/>
        </w:rPr>
        <w:t>）</w:t>
      </w:r>
    </w:p>
    <w:p>
      <w:pPr>
        <w:spacing w:line="360" w:lineRule="auto" w:before="80" w:after="0"/>
        <w:ind w:firstLine="480"/>
        <w:jc w:val="both"/>
      </w:pPr>
      <w:r>
        <w:rPr>
          <w:rFonts w:ascii="Times New Roman" w:hAnsi="Times New Roman" w:eastAsia="方正仿宋简体" w:cs="Times New Roman"/>
          <w:b/>
          <w:i w:val="0"/>
          <w:color w:val="000000"/>
          <w:sz w:val="24"/>
        </w:rPr>
        <w:t>5. 《关于印发老年护理服务能力提升行动方案的通知》（发布机关：国家卫生健康委办公厅 国家医保局办公室 国家中医药局综合司 国家疾控局综合司，发布日期：2025-12-13）</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文件主要内容与核心要点：关于印发老年护理服务能力提升行动方案的通知 国卫办医政发〔2025〕32号 各省、自治区、直辖市及新疆生产建设兵团卫生健康委、医保局、中医药局、疾控局： 为深入贯彻实施积极应对人口老龄化国家战略，</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https://www.gov.cn/zhengce/zhengceku/202512/content_7051098.htm</w:t>
      </w:r>
      <w:r>
        <w:rPr>
          <w:rFonts w:ascii="Times New Roman" w:hAnsi="Times New Roman" w:eastAsia="方正仿宋简体" w:cs="Times New Roman"/>
          <w:b w:val="0"/>
          <w:i w:val="0"/>
          <w:color w:val="000000"/>
          <w:sz w:val="24"/>
        </w:rPr>
        <w:t>）</w:t>
      </w:r>
    </w:p>
    <w:p>
      <w:pPr>
        <w:spacing w:line="360" w:lineRule="auto" w:before="80" w:after="0"/>
        <w:ind w:firstLine="480"/>
        <w:jc w:val="both"/>
      </w:pPr>
      <w:r>
        <w:rPr>
          <w:rFonts w:ascii="Times New Roman" w:hAnsi="Times New Roman" w:eastAsia="方正仿宋简体" w:cs="Times New Roman"/>
          <w:b/>
          <w:i w:val="0"/>
          <w:color w:val="000000"/>
          <w:sz w:val="24"/>
        </w:rPr>
        <w:t>6. 《国家医保局 人力资源社会保障部关于印发《国家基本医疗保险、生育保险和工伤保险药品目录》以及《商业健康保险创新药品目录》（2025年）的通知》（发布机关：国家医保局 人力资源社会保障部，发布日期：2025-12-07）</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标准是医保对同一通用名药品的基金支付基准。新增的国家集中带量采购药品以本省（自治区、直辖市）中选价格作为支付标准。对于确定支付标准的竞价药品和国家集中带量采购中选药品，实际市场价格超出支付标准的，超出</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https://www.gov.cn/zhengce/zhengceku/202512/content_7050533.htm</w:t>
      </w:r>
      <w:r>
        <w:rPr>
          <w:rFonts w:ascii="Times New Roman" w:hAnsi="Times New Roman" w:eastAsia="方正仿宋简体" w:cs="Times New Roman"/>
          <w:b w:val="0"/>
          <w:i w:val="0"/>
          <w:color w:val="000000"/>
          <w:sz w:val="24"/>
        </w:rPr>
        <w:t>）</w:t>
      </w:r>
    </w:p>
    <w:p>
      <w:pPr>
        <w:spacing w:line="360" w:lineRule="auto" w:before="80" w:after="0"/>
        <w:ind w:firstLine="480"/>
        <w:jc w:val="both"/>
      </w:pPr>
      <w:r>
        <w:rPr>
          <w:rFonts w:ascii="Times New Roman" w:hAnsi="Times New Roman" w:eastAsia="方正仿宋简体" w:cs="Times New Roman"/>
          <w:b/>
          <w:i w:val="0"/>
          <w:color w:val="000000"/>
          <w:sz w:val="24"/>
        </w:rPr>
        <w:t>7. 《国家中医药局 国家卫生健康委关于学习推广三明医改促进中医药传承创新发展经验做法的通知》（发布机关：国家中医药局 国家卫生健康委，发布日期：2025-11-28）</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文件主要内容与核心要点：国家中医药局 国家卫生健康委关于学习推广三明医改促进中医药传承创新发展经验做法的通知 国中医药结合函〔2025〕272号 各省、自治区、直辖市卫生健康委、中医药局，新疆生产建设兵团卫生健康委： 为</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https://www.gov.cn/zhengce/zhengceku/202511/content_7049845.htm</w:t>
      </w:r>
      <w:r>
        <w:rPr>
          <w:rFonts w:ascii="Times New Roman" w:hAnsi="Times New Roman" w:eastAsia="方正仿宋简体" w:cs="Times New Roman"/>
          <w:b w:val="0"/>
          <w:i w:val="0"/>
          <w:color w:val="000000"/>
          <w:sz w:val="24"/>
        </w:rPr>
        <w:t>）</w:t>
      </w:r>
    </w:p>
    <w:p>
      <w:pPr>
        <w:spacing w:line="360" w:lineRule="auto" w:before="80" w:after="0"/>
        <w:ind w:firstLine="480"/>
        <w:jc w:val="both"/>
      </w:pPr>
      <w:r>
        <w:rPr>
          <w:rFonts w:ascii="Times New Roman" w:hAnsi="Times New Roman" w:eastAsia="方正仿宋简体" w:cs="Times New Roman"/>
          <w:b/>
          <w:i w:val="0"/>
          <w:color w:val="000000"/>
          <w:sz w:val="24"/>
        </w:rPr>
        <w:t>8. 《国家药监局关于优化境外生产药品补充申请审评审批程序试点工作的通知》（发布机关：国家药监局，发布日期：2025-11-11）</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文件主要内容与核心要点：【审评审批加速】优化创新药补充申请流程，大幅压缩审评时限，支持四川、北京、上海等生物医药产业集聚区开展临床急需药械进口与申报直通试点。</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https://www.gov.cn/zhengce/zhengceku/202511/content_7047813.htm</w:t>
      </w:r>
      <w:r>
        <w:rPr>
          <w:rFonts w:ascii="Times New Roman" w:hAnsi="Times New Roman" w:eastAsia="方正仿宋简体" w:cs="Times New Roman"/>
          <w:b w:val="0"/>
          <w:i w:val="0"/>
          <w:color w:val="000000"/>
          <w:sz w:val="24"/>
        </w:rPr>
        <w:t>）</w:t>
      </w:r>
    </w:p>
    <w:sectPr w:rsidR="00FC693F" w:rsidRPr="0006063C" w:rsidSect="00034616">
      <w:footerReference w:type="default" r:id="rId9"/>
      <w:footerReference w:type="even" r:id="rId10"/>
      <w:pgSz w:w="11906" w:h="16838"/>
      <w:pgMar w:top="2098" w:right="1474" w:bottom="1984"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before="0" w:after="0"/>
      <w:ind w:firstLine="0"/>
      <w:jc w:val="right"/>
    </w:pPr>
    <w:r/>
    <w:r>
      <w:rPr>
        <w:rFonts w:ascii="Times New Roman" w:hAnsi="Times New Roman" w:eastAsia="Times New Roman" w:cs="Times New Roman"/>
        <w:b w:val="0"/>
        <w:i w:val="0"/>
        <w:color w:val="000000"/>
        <w:sz w:val="28"/>
      </w:rPr>
      <w:t xml:space="preserve">— </w:t>
    </w:r>
    <w:r>
      <w:fldChar w:fldCharType="begin"/>
    </w:r>
    <w:r>
      <w:instrText xml:space="preserve"> PAGE </w:instrText>
    </w:r>
    <w:r>
      <w:fldChar w:fldCharType="separate"/>
    </w:r>
    <w:r>
      <w:rPr>
        <w:rFonts w:ascii="Times New Roman" w:hAnsi="Times New Roman" w:eastAsia="Times New Roman" w:cs="Times New Roman"/>
        <w:b w:val="0"/>
        <w:i w:val="0"/>
        <w:color w:val="000000"/>
        <w:sz w:val="28"/>
      </w:rPr>
      <w:t>1</w:t>
    </w:r>
    <w:r>
      <w:fldChar w:fldCharType="end"/>
    </w:r>
    <w:r>
      <w:rPr>
        <w:rFonts w:ascii="Times New Roman" w:hAnsi="Times New Roman" w:eastAsia="Times New Roman" w:cs="Times New Roman"/>
        <w:b w:val="0"/>
        <w:i w:val="0"/>
        <w:color w:val="000000"/>
        <w:sz w:val="28"/>
      </w:rPr>
      <w:t xml:space="preserve"> —</w:t>
    </w:r>
    <w:r>
      <w:rPr>
        <w:rFonts w:ascii="Times New Roman" w:hAnsi="Times New Roman" w:eastAsia="Times New Roman" w:cs="Times New Roman"/>
        <w:b w:val="0"/>
        <w:i w:val="0"/>
        <w:color w:val="000000"/>
        <w:sz w:val="28"/>
      </w:rPr>
      <w:t xml:space="preserve">　</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before="0" w:after="0"/>
      <w:ind w:firstLine="0"/>
      <w:jc w:val="left"/>
    </w:pPr>
    <w:r/>
    <w:r>
      <w:rPr>
        <w:rFonts w:ascii="Times New Roman" w:hAnsi="Times New Roman" w:eastAsia="Times New Roman" w:cs="Times New Roman"/>
        <w:b w:val="0"/>
        <w:i w:val="0"/>
        <w:color w:val="000000"/>
        <w:sz w:val="28"/>
      </w:rPr>
      <w:t xml:space="preserve">　</w:t>
    </w:r>
    <w:r>
      <w:rPr>
        <w:rFonts w:ascii="Times New Roman" w:hAnsi="Times New Roman" w:eastAsia="Times New Roman" w:cs="Times New Roman"/>
        <w:b w:val="0"/>
        <w:i w:val="0"/>
        <w:color w:val="000000"/>
        <w:sz w:val="28"/>
      </w:rPr>
      <w:t xml:space="preserve">— </w:t>
    </w:r>
    <w:r>
      <w:fldChar w:fldCharType="begin"/>
    </w:r>
    <w:r>
      <w:instrText xml:space="preserve"> PAGE </w:instrText>
    </w:r>
    <w:r>
      <w:fldChar w:fldCharType="separate"/>
    </w:r>
    <w:r>
      <w:rPr>
        <w:rFonts w:ascii="Times New Roman" w:hAnsi="Times New Roman" w:eastAsia="Times New Roman" w:cs="Times New Roman"/>
        <w:b w:val="0"/>
        <w:i w:val="0"/>
        <w:color w:val="000000"/>
        <w:sz w:val="28"/>
      </w:rPr>
      <w:t>2</w:t>
    </w:r>
    <w:r>
      <w:fldChar w:fldCharType="end"/>
    </w:r>
    <w:r>
      <w:rPr>
        <w:rFonts w:ascii="Times New Roman" w:hAnsi="Times New Roman" w:eastAsia="Times New Roman" w:cs="Times New Roman"/>
        <w:b w:val="0"/>
        <w:i w:val="0"/>
        <w:color w:val="000000"/>
        <w:sz w:val="2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evenAndOddHeaders w:val="1"/>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